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5CCDF">
      <w:pPr>
        <w:tabs>
          <w:tab w:val="left" w:pos="1155"/>
        </w:tabs>
        <w:spacing w:line="560" w:lineRule="exact"/>
        <w:ind w:firstLine="5040" w:firstLineChars="2100"/>
        <w:jc w:val="right"/>
        <w:rPr>
          <w:rFonts w:hint="eastAsia" w:asciiTheme="minorEastAsia" w:hAnsiTheme="minorEastAsia" w:eastAsiaTheme="minorEastAsia"/>
          <w:color w:val="000000"/>
          <w:sz w:val="24"/>
        </w:rPr>
      </w:pPr>
      <w:r>
        <w:rPr>
          <w:rFonts w:hint="eastAsia" w:asciiTheme="minorEastAsia" w:hAnsiTheme="minorEastAsia" w:eastAsiaTheme="minorEastAsia"/>
          <w:color w:val="000000"/>
          <w:sz w:val="24"/>
        </w:rPr>
        <w:t>合同编号</w:t>
      </w:r>
      <w:r>
        <w:rPr>
          <w:rFonts w:hint="eastAsia" w:asciiTheme="minorEastAsia" w:hAnsiTheme="minorEastAsia" w:eastAsiaTheme="minorEastAsia"/>
          <w:color w:val="000000"/>
          <w:sz w:val="24"/>
          <w:lang w:val="en-US" w:eastAsia="zh-CN"/>
        </w:rPr>
        <w:t>2025</w:t>
      </w:r>
      <w:r>
        <w:rPr>
          <w:rFonts w:hint="eastAsia" w:asciiTheme="minorEastAsia" w:hAnsiTheme="minorEastAsia" w:eastAsiaTheme="minorEastAsia"/>
          <w:color w:val="000000"/>
          <w:sz w:val="24"/>
        </w:rPr>
        <w:t>（</w:t>
      </w:r>
      <w:r>
        <w:rPr>
          <w:rFonts w:hint="eastAsia" w:asciiTheme="minorEastAsia" w:hAnsiTheme="minorEastAsia" w:eastAsiaTheme="minorEastAsia"/>
          <w:color w:val="000000"/>
          <w:sz w:val="24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/>
          <w:color w:val="000000"/>
          <w:sz w:val="24"/>
        </w:rPr>
        <w:t>）号</w:t>
      </w:r>
    </w:p>
    <w:p w14:paraId="6D08312B">
      <w:pPr>
        <w:tabs>
          <w:tab w:val="left" w:pos="1155"/>
        </w:tabs>
        <w:spacing w:line="560" w:lineRule="exact"/>
        <w:ind w:firstLine="5040" w:firstLineChars="2100"/>
        <w:jc w:val="right"/>
        <w:rPr>
          <w:rFonts w:ascii="宋体" w:hAnsi="宋体"/>
          <w:color w:val="000000"/>
          <w:sz w:val="24"/>
        </w:rPr>
      </w:pPr>
    </w:p>
    <w:p w14:paraId="15F4F603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安吉县</w:t>
      </w:r>
      <w:r>
        <w:rPr>
          <w:rFonts w:hint="eastAsia" w:eastAsia="方正小标宋简体"/>
          <w:color w:val="000000"/>
          <w:sz w:val="44"/>
          <w:szCs w:val="44"/>
          <w:lang w:eastAsia="zh-CN"/>
        </w:rPr>
        <w:t>五优联动</w:t>
      </w:r>
      <w:r>
        <w:rPr>
          <w:rFonts w:eastAsia="方正小标宋简体"/>
          <w:color w:val="000000"/>
          <w:sz w:val="44"/>
          <w:szCs w:val="44"/>
        </w:rPr>
        <w:t>订单粮食购销合同</w:t>
      </w:r>
    </w:p>
    <w:p w14:paraId="1A4CADA9">
      <w:pPr>
        <w:spacing w:line="560" w:lineRule="exact"/>
        <w:ind w:firstLine="640" w:firstLineChars="200"/>
        <w:rPr>
          <w:rFonts w:eastAsia="仿宋_GB2312"/>
          <w:color w:val="000000"/>
          <w:sz w:val="32"/>
          <w:szCs w:val="32"/>
        </w:rPr>
      </w:pPr>
    </w:p>
    <w:p w14:paraId="33272A5D">
      <w:pPr>
        <w:spacing w:line="560" w:lineRule="exact"/>
        <w:ind w:firstLine="640" w:firstLineChars="200"/>
        <w:rPr>
          <w:rFonts w:eastAsia="仿宋_GB2312"/>
          <w:bCs/>
          <w:color w:val="000000"/>
          <w:sz w:val="32"/>
          <w:szCs w:val="32"/>
          <w:u w:val="single"/>
        </w:rPr>
      </w:pPr>
      <w:r>
        <w:rPr>
          <w:rFonts w:eastAsia="仿宋_GB2312"/>
          <w:bCs/>
          <w:color w:val="000000"/>
          <w:sz w:val="32"/>
          <w:szCs w:val="32"/>
        </w:rPr>
        <w:t>甲方：</w:t>
      </w:r>
      <w:r>
        <w:rPr>
          <w:rFonts w:eastAsia="仿宋_GB2312"/>
          <w:bCs/>
          <w:color w:val="000000"/>
          <w:sz w:val="32"/>
          <w:szCs w:val="32"/>
          <w:u w:val="single"/>
        </w:rPr>
        <w:t xml:space="preserve">  安吉县粮食收储有限公司     </w:t>
      </w:r>
    </w:p>
    <w:p w14:paraId="72BCD617">
      <w:pPr>
        <w:spacing w:line="560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</w:rPr>
        <w:t>乙方：</w:t>
      </w:r>
      <w:r>
        <w:rPr>
          <w:rFonts w:eastAsia="仿宋_GB2312"/>
          <w:bCs/>
          <w:color w:val="000000"/>
          <w:sz w:val="32"/>
          <w:szCs w:val="32"/>
          <w:u w:val="single"/>
        </w:rPr>
        <w:t xml:space="preserve">                             </w:t>
      </w:r>
    </w:p>
    <w:p w14:paraId="320EF60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200" w:afterAutospacing="0" w:line="500" w:lineRule="exact"/>
        <w:ind w:firstLine="646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甲方通过委托</w:t>
      </w:r>
      <w:r>
        <w:rPr>
          <w:rFonts w:hint="eastAsia" w:eastAsia="仿宋_GB2312"/>
          <w:color w:val="000000"/>
          <w:sz w:val="32"/>
          <w:szCs w:val="32"/>
        </w:rPr>
        <w:t>国家粮食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浙江交易中心</w:t>
      </w:r>
      <w:bookmarkStart w:id="0" w:name="_GoBack"/>
      <w:bookmarkEnd w:id="0"/>
      <w:r>
        <w:rPr>
          <w:rFonts w:eastAsia="仿宋_GB2312"/>
          <w:color w:val="000000"/>
          <w:sz w:val="32"/>
          <w:szCs w:val="32"/>
        </w:rPr>
        <w:t>在“</w:t>
      </w:r>
      <w:r>
        <w:rPr>
          <w:rFonts w:hint="eastAsia" w:eastAsia="仿宋_GB2312"/>
          <w:color w:val="000000"/>
          <w:sz w:val="32"/>
          <w:szCs w:val="32"/>
        </w:rPr>
        <w:t>国家粮食交易中心</w:t>
      </w:r>
      <w:r>
        <w:rPr>
          <w:rFonts w:eastAsia="仿宋_GB2312"/>
          <w:color w:val="000000"/>
          <w:sz w:val="32"/>
          <w:szCs w:val="32"/>
        </w:rPr>
        <w:t>”上竞价订单粮食购销(场次编号：</w:t>
      </w:r>
      <w:r>
        <w:rPr>
          <w:rFonts w:hint="eastAsia" w:eastAsia="仿宋_GB2312"/>
          <w:color w:val="000000"/>
          <w:sz w:val="32"/>
          <w:szCs w:val="32"/>
          <w:u w:val="single"/>
        </w:rPr>
        <w:t>国粮浙交202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>5</w:t>
      </w:r>
      <w:r>
        <w:rPr>
          <w:rFonts w:hint="eastAsia" w:eastAsia="仿宋_GB2312"/>
          <w:color w:val="000000"/>
          <w:sz w:val="32"/>
          <w:szCs w:val="32"/>
          <w:u w:val="single"/>
        </w:rPr>
        <w:t>第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eastAsia="仿宋_GB2312"/>
          <w:color w:val="000000"/>
          <w:sz w:val="32"/>
          <w:szCs w:val="32"/>
          <w:u w:val="single"/>
        </w:rPr>
        <w:t>号</w:t>
      </w:r>
      <w:r>
        <w:rPr>
          <w:rFonts w:eastAsia="仿宋_GB2312"/>
          <w:color w:val="000000"/>
          <w:sz w:val="32"/>
          <w:szCs w:val="32"/>
          <w:u w:val="single"/>
        </w:rPr>
        <w:t xml:space="preserve"> </w:t>
      </w:r>
      <w:r>
        <w:rPr>
          <w:rFonts w:eastAsia="仿宋_GB2312"/>
          <w:color w:val="000000"/>
          <w:sz w:val="32"/>
          <w:szCs w:val="32"/>
        </w:rPr>
        <w:t>)，乙方参与竞价交易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竞得</w:t>
      </w:r>
      <w:r>
        <w:rPr>
          <w:rFonts w:eastAsia="仿宋_GB2312"/>
          <w:color w:val="000000"/>
          <w:sz w:val="32"/>
          <w:szCs w:val="32"/>
        </w:rPr>
        <w:t>，双方以</w:t>
      </w:r>
      <w:r>
        <w:rPr>
          <w:rFonts w:hint="eastAsia" w:eastAsia="仿宋_GB2312"/>
          <w:color w:val="000000"/>
          <w:sz w:val="32"/>
          <w:szCs w:val="32"/>
        </w:rPr>
        <w:t>国家粮食浙江交易中心浙江粮油交易网</w:t>
      </w:r>
      <w:r>
        <w:rPr>
          <w:rFonts w:eastAsia="仿宋_GB2312"/>
          <w:color w:val="000000"/>
          <w:sz w:val="32"/>
          <w:szCs w:val="32"/>
        </w:rPr>
        <w:t>上发布的“竞价公告”和“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竞得</w:t>
      </w:r>
      <w:r>
        <w:rPr>
          <w:rFonts w:eastAsia="仿宋_GB2312"/>
          <w:color w:val="000000"/>
          <w:sz w:val="32"/>
          <w:szCs w:val="32"/>
        </w:rPr>
        <w:t>通知书”为依据实现交易。为明确双方责任，根据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民法典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》</w:t>
      </w:r>
      <w:r>
        <w:rPr>
          <w:rFonts w:eastAsia="仿宋_GB2312"/>
          <w:color w:val="000000"/>
          <w:sz w:val="32"/>
          <w:szCs w:val="32"/>
        </w:rPr>
        <w:t>和</w:t>
      </w:r>
      <w:r>
        <w:rPr>
          <w:rFonts w:ascii="仿宋_GB2312" w:eastAsia="仿宋_GB2312" w:cs="仿宋_GB2312"/>
          <w:sz w:val="31"/>
          <w:szCs w:val="31"/>
        </w:rPr>
        <w:t>《国家粮食浙江交易中心网上竞价交易规则》</w:t>
      </w:r>
      <w:r>
        <w:rPr>
          <w:rFonts w:eastAsia="仿宋_GB2312"/>
          <w:color w:val="000000"/>
          <w:sz w:val="32"/>
          <w:szCs w:val="32"/>
        </w:rPr>
        <w:t>等的规定，特订立以下合同条款，以资共同遵守。</w:t>
      </w:r>
    </w:p>
    <w:p w14:paraId="7930633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200" w:afterAutospacing="0" w:line="50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一、操作模式。</w:t>
      </w:r>
      <w:r>
        <w:rPr>
          <w:rFonts w:eastAsia="仿宋_GB2312"/>
          <w:color w:val="000000"/>
          <w:sz w:val="32"/>
          <w:szCs w:val="32"/>
        </w:rPr>
        <w:t>乙方委托甲方与本地粮食生产主体签订订单收购合同，生产指定优质粮食品种。订单粮食由甲方负责收储，并纳入县级储备规模，在规定期限内，定向销售给乙方。</w:t>
      </w:r>
    </w:p>
    <w:p w14:paraId="051ECC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eastAsia="黑体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二、标的粮食品种、数量、质量要求</w:t>
      </w:r>
    </w:p>
    <w:p w14:paraId="5520FC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z w:val="32"/>
          <w:szCs w:val="32"/>
        </w:rPr>
        <w:t>粮食品种：</w:t>
      </w:r>
      <w:r>
        <w:rPr>
          <w:rFonts w:eastAsia="仿宋_GB2312"/>
          <w:color w:val="000000"/>
          <w:sz w:val="32"/>
          <w:szCs w:val="32"/>
          <w:u w:val="single"/>
        </w:rPr>
        <w:t xml:space="preserve"> 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eastAsia="仿宋_GB2312"/>
          <w:color w:val="000000"/>
          <w:sz w:val="32"/>
          <w:szCs w:val="32"/>
          <w:u w:val="single"/>
        </w:rPr>
        <w:t>　</w:t>
      </w:r>
    </w:p>
    <w:p w14:paraId="403A47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left="958" w:leftChars="304" w:hanging="320" w:hangingChars="100"/>
        <w:textAlignment w:val="auto"/>
        <w:rPr>
          <w:rFonts w:eastAsia="仿宋_GB2312"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z w:val="32"/>
          <w:szCs w:val="32"/>
        </w:rPr>
        <w:t>粮食数量：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 xml:space="preserve">       </w:t>
      </w:r>
      <w:r>
        <w:rPr>
          <w:rFonts w:eastAsia="仿宋_GB2312"/>
          <w:color w:val="000000"/>
          <w:sz w:val="32"/>
          <w:szCs w:val="32"/>
        </w:rPr>
        <w:t>吨（</w:t>
      </w:r>
      <w:r>
        <w:rPr>
          <w:rFonts w:hint="eastAsia" w:eastAsia="仿宋_GB2312"/>
          <w:color w:val="000000"/>
          <w:sz w:val="32"/>
          <w:szCs w:val="32"/>
        </w:rPr>
        <w:t>安吉县粮食收储公司中心粮库</w:t>
      </w:r>
      <w:r>
        <w:rPr>
          <w:rFonts w:eastAsia="仿宋_GB2312"/>
          <w:color w:val="000000"/>
          <w:sz w:val="32"/>
          <w:szCs w:val="32"/>
          <w:u w:val="single"/>
        </w:rPr>
        <w:t xml:space="preserve">  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 xml:space="preserve">       </w:t>
      </w:r>
      <w:r>
        <w:rPr>
          <w:rFonts w:eastAsia="仿宋_GB2312"/>
          <w:color w:val="000000"/>
          <w:sz w:val="32"/>
          <w:szCs w:val="32"/>
        </w:rPr>
        <w:t>号仓）</w:t>
      </w:r>
    </w:p>
    <w:p w14:paraId="58C269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eastAsia" w:eastAsia="仿宋_GB2312"/>
          <w:sz w:val="32"/>
          <w:szCs w:val="32"/>
          <w:lang w:eastAsia="zh-CN"/>
        </w:rPr>
      </w:pPr>
      <w:r>
        <w:rPr>
          <w:rFonts w:eastAsia="仿宋_GB2312"/>
          <w:sz w:val="32"/>
          <w:szCs w:val="32"/>
        </w:rPr>
        <w:t>质量要求：国家标准 (GB1350—2009)三等及以上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 w14:paraId="0F16C1E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晚籼谷</w:t>
      </w:r>
      <w:r>
        <w:rPr>
          <w:rFonts w:eastAsia="仿宋_GB2312"/>
          <w:sz w:val="32"/>
          <w:szCs w:val="32"/>
        </w:rPr>
        <w:t>：</w:t>
      </w:r>
      <w:r>
        <w:rPr>
          <w:rFonts w:hint="eastAsia" w:eastAsia="仿宋_GB2312"/>
          <w:sz w:val="32"/>
          <w:szCs w:val="32"/>
          <w:lang w:eastAsia="zh-CN"/>
        </w:rPr>
        <w:t>晚</w:t>
      </w:r>
      <w:r>
        <w:rPr>
          <w:rFonts w:eastAsia="仿宋_GB2312"/>
          <w:sz w:val="32"/>
          <w:szCs w:val="32"/>
        </w:rPr>
        <w:t>出糙率≥75%，整精米率≥44%，杂质≤1%，水分≤13.5%，黄粒米含量≤1%，谷外糙米含量≤2%，互混率≤5%，色泽、气味正常</w:t>
      </w:r>
      <w:r>
        <w:rPr>
          <w:rFonts w:hint="eastAsia" w:eastAsia="仿宋_GB2312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卫生指标和储存宜存指标符合国家规定要求。</w:t>
      </w:r>
      <w:r>
        <w:rPr>
          <w:rFonts w:eastAsia="仿宋_GB2312"/>
          <w:sz w:val="32"/>
          <w:szCs w:val="32"/>
        </w:rPr>
        <w:t>食品安全指标和储存品质宜存指标符合国家规定要求。</w:t>
      </w:r>
    </w:p>
    <w:p w14:paraId="1AD796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晚粳谷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：出糙率≥77%，整精米率≥55%，杂质≤1%，水分≤14.5%，黄米粒含量≤1%，谷外糙米含量≤2%，互混率≤5%，色泽、气味正常，卫生指标和储存宜存指标符合国家规定要求。</w:t>
      </w:r>
      <w:r>
        <w:rPr>
          <w:rFonts w:eastAsia="仿宋_GB2312"/>
          <w:sz w:val="32"/>
          <w:szCs w:val="32"/>
        </w:rPr>
        <w:t>食品安全指标和储存品质宜存指标符合国家规定要求。</w:t>
      </w:r>
    </w:p>
    <w:p w14:paraId="0A209CD0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黑体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三、粮食收购入库</w:t>
      </w:r>
    </w:p>
    <w:p w14:paraId="1471AA5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1.甲方负责订单粮食收储，收购地点为</w:t>
      </w:r>
      <w:r>
        <w:rPr>
          <w:rFonts w:hint="eastAsia" w:eastAsia="仿宋_GB2312"/>
          <w:color w:val="000000"/>
          <w:sz w:val="32"/>
          <w:szCs w:val="32"/>
        </w:rPr>
        <w:t>安吉县粮食收储公司中心粮库</w:t>
      </w:r>
      <w:r>
        <w:rPr>
          <w:rFonts w:eastAsia="仿宋_GB2312"/>
          <w:color w:val="000000"/>
          <w:sz w:val="32"/>
          <w:szCs w:val="32"/>
        </w:rPr>
        <w:t>。</w:t>
      </w:r>
    </w:p>
    <w:p w14:paraId="675BF27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2.质量检验：甲方和乙方联合质量检验，甲方负责常规质量、食品安全指标、储存指标检验；乙方负责粮食品种和质量等级的确认。</w:t>
      </w:r>
    </w:p>
    <w:p w14:paraId="4B5867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3.货款支付：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甲方按照上级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部门下发的晚稻最低收购价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作为收购基准价格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支付规模种植主体粮款。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乙方按照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优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价原则，支付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甲方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货款。</w:t>
      </w:r>
    </w:p>
    <w:p w14:paraId="2B6C38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收购价格=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收购基准价格+等级价差+水杂增量折价+优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加价。</w:t>
      </w:r>
    </w:p>
    <w:p w14:paraId="5A33229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优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质</w:t>
      </w:r>
      <w:r>
        <w:rPr>
          <w:rFonts w:eastAsia="仿宋_GB2312"/>
          <w:color w:val="000000"/>
          <w:sz w:val="32"/>
          <w:szCs w:val="32"/>
        </w:rPr>
        <w:t xml:space="preserve">加价为 </w:t>
      </w:r>
      <w:r>
        <w:rPr>
          <w:rFonts w:eastAsia="仿宋_GB2312"/>
          <w:color w:val="000000"/>
          <w:sz w:val="32"/>
          <w:szCs w:val="32"/>
          <w:u w:val="single"/>
        </w:rPr>
        <w:t xml:space="preserve"> </w:t>
      </w:r>
      <w:r>
        <w:rPr>
          <w:rFonts w:hint="eastAsia" w:eastAsia="仿宋_GB2312"/>
          <w:color w:val="000000"/>
          <w:sz w:val="32"/>
          <w:szCs w:val="32"/>
          <w:u w:val="single"/>
          <w:lang w:val="en-US" w:eastAsia="zh-CN"/>
        </w:rPr>
        <w:t xml:space="preserve">    </w:t>
      </w:r>
      <w:r>
        <w:rPr>
          <w:rFonts w:eastAsia="仿宋_GB2312"/>
          <w:color w:val="000000"/>
          <w:sz w:val="32"/>
          <w:szCs w:val="32"/>
          <w:u w:val="single"/>
        </w:rPr>
        <w:t xml:space="preserve"> </w:t>
      </w:r>
      <w:r>
        <w:rPr>
          <w:rFonts w:eastAsia="仿宋_GB2312"/>
          <w:color w:val="000000"/>
          <w:sz w:val="32"/>
          <w:szCs w:val="32"/>
        </w:rPr>
        <w:t>元/</w:t>
      </w:r>
      <w:r>
        <w:rPr>
          <w:rFonts w:hint="eastAsia" w:eastAsia="仿宋_GB2312"/>
          <w:color w:val="000000"/>
          <w:sz w:val="32"/>
          <w:szCs w:val="32"/>
        </w:rPr>
        <w:t>吨</w:t>
      </w:r>
      <w:r>
        <w:rPr>
          <w:rFonts w:eastAsia="仿宋_GB2312"/>
          <w:color w:val="000000"/>
          <w:sz w:val="32"/>
          <w:szCs w:val="32"/>
        </w:rPr>
        <w:t>。</w:t>
      </w:r>
    </w:p>
    <w:p w14:paraId="6FC21B70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按照国家和省有关规定，国标三等以上相邻等级的价差为2元/50公斤。</w:t>
      </w:r>
    </w:p>
    <w:p w14:paraId="350AC50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甲方按基准价格和等级价差支付给粮食生产主体。</w:t>
      </w:r>
    </w:p>
    <w:p w14:paraId="38B989F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乙方负责支付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优质加价</w:t>
      </w:r>
      <w:r>
        <w:rPr>
          <w:rFonts w:eastAsia="仿宋_GB2312"/>
          <w:color w:val="000000"/>
          <w:sz w:val="32"/>
          <w:szCs w:val="32"/>
        </w:rPr>
        <w:t>款（在收购前5个工作日打入甲方帐户，由甲方统一支付）。</w:t>
      </w:r>
    </w:p>
    <w:p w14:paraId="5F3DE47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四、粮食储存保管。</w:t>
      </w:r>
      <w:r>
        <w:rPr>
          <w:rFonts w:eastAsia="仿宋_GB2312"/>
          <w:color w:val="000000"/>
          <w:sz w:val="32"/>
          <w:szCs w:val="32"/>
        </w:rPr>
        <w:t>甲方应按照《粮油储藏技术规范》等做好仓储管理工作，积极运用空调控温准低温储粮，延缓品质陈化。</w:t>
      </w:r>
    </w:p>
    <w:p w14:paraId="2443BF1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黑体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五、粮食销售</w:t>
      </w:r>
    </w:p>
    <w:p w14:paraId="05E5BC2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1.实行定时轮换出库。在粮食市场正常情况下，甲方在收到政府批文后（4月</w:t>
      </w:r>
      <w:r>
        <w:rPr>
          <w:rFonts w:hint="eastAsia" w:eastAsia="仿宋_GB2312"/>
          <w:color w:val="000000"/>
          <w:sz w:val="32"/>
          <w:szCs w:val="32"/>
        </w:rPr>
        <w:t>-</w:t>
      </w:r>
      <w:r>
        <w:rPr>
          <w:rFonts w:eastAsia="仿宋_GB2312"/>
          <w:color w:val="000000"/>
          <w:sz w:val="32"/>
          <w:szCs w:val="32"/>
        </w:rPr>
        <w:t>10月份）安排出库，每一廒间出库工作应当在</w:t>
      </w:r>
      <w:r>
        <w:rPr>
          <w:rFonts w:hint="eastAsia" w:eastAsia="仿宋_GB2312"/>
          <w:color w:val="000000"/>
          <w:sz w:val="32"/>
          <w:szCs w:val="32"/>
        </w:rPr>
        <w:t>45日历天（含）</w:t>
      </w:r>
      <w:r>
        <w:rPr>
          <w:rFonts w:eastAsia="仿宋_GB2312"/>
          <w:color w:val="000000"/>
          <w:sz w:val="32"/>
          <w:szCs w:val="32"/>
        </w:rPr>
        <w:t>内完成，乙方要服从甲方安排。若超期</w:t>
      </w:r>
      <w:r>
        <w:rPr>
          <w:rFonts w:hint="eastAsia" w:eastAsia="仿宋_GB2312"/>
          <w:color w:val="000000"/>
          <w:sz w:val="32"/>
          <w:szCs w:val="32"/>
        </w:rPr>
        <w:t>，乙方</w:t>
      </w:r>
      <w:r>
        <w:rPr>
          <w:rFonts w:eastAsia="仿宋_GB2312"/>
          <w:color w:val="000000"/>
          <w:sz w:val="32"/>
          <w:szCs w:val="32"/>
        </w:rPr>
        <w:t>需向</w:t>
      </w:r>
      <w:r>
        <w:rPr>
          <w:rFonts w:hint="eastAsia" w:eastAsia="仿宋_GB2312"/>
          <w:color w:val="000000"/>
          <w:sz w:val="32"/>
          <w:szCs w:val="32"/>
        </w:rPr>
        <w:t>甲方</w:t>
      </w:r>
      <w:r>
        <w:rPr>
          <w:rFonts w:eastAsia="仿宋_GB2312"/>
          <w:color w:val="000000"/>
          <w:sz w:val="32"/>
          <w:szCs w:val="32"/>
        </w:rPr>
        <w:t>按</w:t>
      </w:r>
      <w:r>
        <w:rPr>
          <w:rFonts w:hint="eastAsia" w:eastAsia="仿宋_GB2312"/>
          <w:color w:val="000000"/>
          <w:sz w:val="32"/>
          <w:szCs w:val="32"/>
        </w:rPr>
        <w:t>每天0.5</w:t>
      </w:r>
      <w:r>
        <w:rPr>
          <w:rFonts w:eastAsia="仿宋_GB2312"/>
          <w:color w:val="000000"/>
          <w:sz w:val="32"/>
          <w:szCs w:val="32"/>
        </w:rPr>
        <w:t>元/吨支付仓房（货位）占用费（按标段数量结算，若标段内包含多个独立货位，按货位约定数量结算）。</w:t>
      </w:r>
    </w:p>
    <w:p w14:paraId="2208C55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eastAsia="仿宋_GB2312"/>
          <w:b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z w:val="32"/>
          <w:szCs w:val="32"/>
        </w:rPr>
        <w:t>提货地点：安吉县</w:t>
      </w:r>
      <w:r>
        <w:rPr>
          <w:rFonts w:hint="eastAsia" w:eastAsia="仿宋_GB2312"/>
          <w:color w:val="000000"/>
          <w:sz w:val="32"/>
          <w:szCs w:val="32"/>
        </w:rPr>
        <w:t>粮食收储公司</w:t>
      </w:r>
      <w:r>
        <w:rPr>
          <w:rFonts w:eastAsia="仿宋_GB2312"/>
          <w:color w:val="000000"/>
          <w:sz w:val="32"/>
          <w:szCs w:val="32"/>
        </w:rPr>
        <w:t>中心粮库，提货方式：由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竞得</w:t>
      </w:r>
      <w:r>
        <w:rPr>
          <w:rFonts w:eastAsia="仿宋_GB2312"/>
          <w:color w:val="000000"/>
          <w:sz w:val="32"/>
          <w:szCs w:val="32"/>
        </w:rPr>
        <w:t>方自提。</w:t>
      </w:r>
    </w:p>
    <w:p w14:paraId="6F181C9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Cs/>
          <w:color w:val="000000"/>
          <w:sz w:val="32"/>
          <w:szCs w:val="32"/>
        </w:rPr>
        <w:t>2.货款结</w:t>
      </w:r>
      <w:r>
        <w:rPr>
          <w:rFonts w:eastAsia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算方式：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出库时携款提货，按基准价格+等级价差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+水杂增量</w:t>
      </w:r>
      <w:r>
        <w:rPr>
          <w:rFonts w:hint="eastAsia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折价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C1A292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eastAsia="仿宋_GB2312"/>
          <w:color w:val="000000"/>
          <w:sz w:val="32"/>
          <w:szCs w:val="32"/>
        </w:rPr>
        <w:t>库内装卸费、过磅费及质量检验检测费由县收储公司承担；如发生质量争议的检验检测费由责任方承担。</w:t>
      </w:r>
    </w:p>
    <w:p w14:paraId="7D8DFB3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六、履约保证金支付方式。</w:t>
      </w:r>
      <w:r>
        <w:rPr>
          <w:rFonts w:eastAsia="仿宋_GB2312"/>
          <w:color w:val="000000"/>
          <w:sz w:val="32"/>
          <w:szCs w:val="32"/>
        </w:rPr>
        <w:t>乙方在签订合同后5个工作日内按每吨粮食100元支付</w:t>
      </w:r>
      <w:r>
        <w:rPr>
          <w:rFonts w:eastAsia="仿宋_GB2312"/>
          <w:bCs/>
          <w:color w:val="000000"/>
          <w:sz w:val="32"/>
          <w:szCs w:val="32"/>
        </w:rPr>
        <w:t>甲</w:t>
      </w:r>
      <w:r>
        <w:rPr>
          <w:rFonts w:eastAsia="仿宋_GB2312"/>
          <w:color w:val="000000"/>
          <w:sz w:val="32"/>
          <w:szCs w:val="32"/>
        </w:rPr>
        <w:t>方作为订单履约保证金。</w:t>
      </w:r>
    </w:p>
    <w:p w14:paraId="75DAF4C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eastAsia="黑体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七、其他事项</w:t>
      </w:r>
    </w:p>
    <w:p w14:paraId="6ED804C8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eastAsia="仿宋_GB2312"/>
          <w:bCs/>
          <w:color w:val="000000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</w:rPr>
        <w:t>1.如发生粮食市场波动，该粮源必须服从政府要求，由甲方安排用于市场调控，由</w:t>
      </w:r>
      <w:r>
        <w:rPr>
          <w:rFonts w:hint="eastAsia" w:eastAsia="仿宋_GB2312"/>
          <w:bCs/>
          <w:color w:val="000000"/>
          <w:sz w:val="32"/>
          <w:szCs w:val="32"/>
          <w:lang w:eastAsia="zh-CN"/>
        </w:rPr>
        <w:t>政府</w:t>
      </w:r>
      <w:r>
        <w:rPr>
          <w:rFonts w:eastAsia="仿宋_GB2312"/>
          <w:bCs/>
          <w:color w:val="000000"/>
          <w:sz w:val="32"/>
          <w:szCs w:val="32"/>
        </w:rPr>
        <w:t>安排用于市场调控。支付粮食加工企业一定的违约金，具体标准按企业交纳的履约保证金的一倍支付。</w:t>
      </w:r>
    </w:p>
    <w:p w14:paraId="25E45DF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2.有关印花税等税款按国家有关规定由各自行缴纳，甲方须提供正式税务发票。</w:t>
      </w:r>
    </w:p>
    <w:p w14:paraId="2351036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hint="eastAsia"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3.出现违规情况，按照《安吉县订单粮食诚信管理制度》执行。</w:t>
      </w:r>
    </w:p>
    <w:p w14:paraId="1C6B5FB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40" w:lineRule="exact"/>
        <w:ind w:firstLine="627" w:firstLineChars="196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４.收购结束后，若晚籼谷市场价低于202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eastAsia="仿宋_GB2312"/>
          <w:color w:val="000000"/>
          <w:sz w:val="32"/>
          <w:szCs w:val="32"/>
        </w:rPr>
        <w:t xml:space="preserve"> 年浙江省定最低收购价时(市场价由湖州市粮食行业协会价格监测数据提供)，企业是否继续履行合同由其自行决定。如企业要求终止合同的，则由企业在收购次年3月底前提出申请，经县粮食和物资储备局核实同意后，允许企业解除合同，并退还履约保证金，企业不承担违约责任，但企业在收购环节中支付的优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质</w:t>
      </w:r>
      <w:r>
        <w:rPr>
          <w:rFonts w:hint="eastAsia" w:eastAsia="仿宋_GB2312"/>
          <w:color w:val="000000"/>
          <w:sz w:val="32"/>
          <w:szCs w:val="32"/>
        </w:rPr>
        <w:t>加价款不予退还，同时该批粮食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进行公开拍卖或</w:t>
      </w:r>
      <w:r>
        <w:rPr>
          <w:rFonts w:hint="eastAsia" w:eastAsia="仿宋_GB2312"/>
          <w:color w:val="000000"/>
          <w:sz w:val="32"/>
          <w:szCs w:val="32"/>
        </w:rPr>
        <w:t>转为县级地方常规储备粮。</w:t>
      </w:r>
    </w:p>
    <w:p w14:paraId="3B6E40E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八、合同争议解决方式。</w:t>
      </w:r>
      <w:r>
        <w:rPr>
          <w:rFonts w:eastAsia="仿宋_GB2312"/>
          <w:color w:val="000000"/>
          <w:sz w:val="32"/>
          <w:szCs w:val="32"/>
        </w:rPr>
        <w:t>由双方当事人协商解决；向当地市场监管部门申请调解；协商或调解不成的，按下列第二种方式解决：</w:t>
      </w:r>
    </w:p>
    <w:p w14:paraId="74960CA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1.提交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  </w:t>
      </w:r>
      <w:r>
        <w:rPr>
          <w:rFonts w:eastAsia="仿宋_GB2312"/>
          <w:color w:val="000000"/>
          <w:sz w:val="32"/>
          <w:szCs w:val="32"/>
        </w:rPr>
        <w:t>仲裁委员会仲裁；</w:t>
      </w:r>
    </w:p>
    <w:p w14:paraId="6E4E86B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2.依法向安吉县人民法院起诉。</w:t>
      </w:r>
    </w:p>
    <w:p w14:paraId="693D90E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ind w:firstLine="640" w:firstLineChars="200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Ansi="黑体" w:eastAsia="黑体"/>
          <w:color w:val="000000"/>
          <w:sz w:val="32"/>
          <w:szCs w:val="32"/>
        </w:rPr>
        <w:t>九、本合同一式</w:t>
      </w:r>
      <w:r>
        <w:rPr>
          <w:rFonts w:hint="eastAsia" w:hAnsi="黑体" w:eastAsia="黑体"/>
          <w:color w:val="000000"/>
          <w:sz w:val="32"/>
          <w:szCs w:val="32"/>
          <w:lang w:eastAsia="zh-CN"/>
        </w:rPr>
        <w:t>三</w:t>
      </w:r>
      <w:r>
        <w:rPr>
          <w:rFonts w:hAnsi="黑体" w:eastAsia="黑体"/>
          <w:color w:val="000000"/>
          <w:sz w:val="32"/>
          <w:szCs w:val="32"/>
        </w:rPr>
        <w:t>份，</w:t>
      </w:r>
      <w:r>
        <w:rPr>
          <w:rFonts w:eastAsia="仿宋_GB2312"/>
          <w:color w:val="000000"/>
          <w:sz w:val="32"/>
          <w:szCs w:val="32"/>
        </w:rPr>
        <w:t>甲方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二</w:t>
      </w:r>
      <w:r>
        <w:rPr>
          <w:rFonts w:eastAsia="仿宋_GB2312"/>
          <w:color w:val="000000"/>
          <w:sz w:val="32"/>
          <w:szCs w:val="32"/>
        </w:rPr>
        <w:t>份（其中交县粮食和物资储备局一份），乙方一份。本合同自签订之日起生效。</w:t>
      </w:r>
    </w:p>
    <w:p w14:paraId="3CFD1DD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</w:p>
    <w:p w14:paraId="139E5C2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甲方（盖章）：                  乙方（盖章）：</w:t>
      </w:r>
    </w:p>
    <w:p w14:paraId="1580F478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法定代表人（签字）：            法定代表人（签字）：</w:t>
      </w:r>
    </w:p>
    <w:p w14:paraId="22045F1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开户行：                       开户行：</w:t>
      </w:r>
    </w:p>
    <w:p w14:paraId="56F7BF8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账号：                         账号：</w:t>
      </w:r>
    </w:p>
    <w:p w14:paraId="6BCFA8F4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签订日期：  年  月  日         签订日期：  年  月  日</w:t>
      </w:r>
    </w:p>
    <w:p w14:paraId="1E077C6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textAlignment w:val="auto"/>
      </w:pPr>
    </w:p>
    <w:sectPr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OTI5OGNlMTVjMDUzYzdmNTcwYzA2N2YwMjNjYmEifQ=="/>
  </w:docVars>
  <w:rsids>
    <w:rsidRoot w:val="005D6832"/>
    <w:rsid w:val="005C3767"/>
    <w:rsid w:val="005D6832"/>
    <w:rsid w:val="008B46BF"/>
    <w:rsid w:val="303E7DC8"/>
    <w:rsid w:val="3A9476B9"/>
    <w:rsid w:val="4EB57D43"/>
    <w:rsid w:val="7E386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widowControl w:val="0"/>
      <w:ind w:firstLine="420"/>
      <w:jc w:val="both"/>
    </w:pPr>
    <w:rPr>
      <w:rFonts w:ascii="Times New Roman" w:hAnsi="Times New Roman" w:eastAsia="仿宋_GB2312" w:cs="Times New Roman"/>
      <w:kern w:val="2"/>
      <w:sz w:val="32"/>
      <w:szCs w:val="21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xitongtiandi.net</Company>
  <Pages>4</Pages>
  <Words>1716</Words>
  <Characters>1795</Characters>
  <Lines>13</Lines>
  <Paragraphs>3</Paragraphs>
  <TotalTime>32</TotalTime>
  <ScaleCrop>false</ScaleCrop>
  <LinksUpToDate>false</LinksUpToDate>
  <CharactersWithSpaces>1981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2024-09-30T00:31:00Z</dcterms:created>
  <dc:creator>Windows 用户</dc:creator>
  <cp:lastModifiedBy>叶子</cp:lastModifiedBy>
  <dcterms:modified xsi:type="dcterms:W3CDTF">2025-10-11T07:43:17Z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AEFE4641AE9B4B659822092F553BD61A_13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