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center"/>
        <w:rPr>
          <w:rFonts w:ascii="宋体" w:hAnsi="宋体" w:cs="黑体"/>
          <w:b/>
          <w:color w:val="000000"/>
          <w:sz w:val="32"/>
          <w:szCs w:val="32"/>
        </w:rPr>
      </w:pPr>
      <w:r>
        <w:rPr>
          <w:rFonts w:hint="eastAsia" w:ascii="宋体" w:hAnsi="宋体" w:cs="黑体"/>
          <w:b/>
          <w:color w:val="000000"/>
          <w:sz w:val="32"/>
          <w:szCs w:val="32"/>
          <w:lang w:val="en-US" w:eastAsia="zh-CN"/>
        </w:rPr>
        <w:t>菜籽油</w:t>
      </w:r>
      <w:r>
        <w:rPr>
          <w:rFonts w:hint="eastAsia" w:ascii="宋体" w:hAnsi="宋体" w:cs="黑体"/>
          <w:b/>
          <w:color w:val="000000"/>
          <w:sz w:val="32"/>
          <w:szCs w:val="32"/>
        </w:rPr>
        <w:t>竞价交易采购合同</w:t>
      </w:r>
    </w:p>
    <w:p>
      <w:pPr>
        <w:spacing w:line="580" w:lineRule="exact"/>
        <w:rPr>
          <w:rFonts w:hint="default" w:ascii="宋体" w:hAnsi="宋体" w:eastAsia="宋体"/>
          <w:color w:val="000000"/>
          <w:sz w:val="22"/>
          <w:szCs w:val="22"/>
          <w:lang w:val="en-US" w:eastAsia="zh-CN"/>
        </w:rPr>
      </w:pPr>
      <w:r>
        <w:rPr>
          <w:rFonts w:hint="eastAsia" w:ascii="宋体" w:hAnsi="宋体"/>
          <w:b/>
          <w:color w:val="000000"/>
          <w:sz w:val="24"/>
        </w:rPr>
        <w:t>甲方：</w:t>
      </w:r>
      <w:r>
        <w:rPr>
          <w:rFonts w:hint="eastAsia" w:ascii="宋体" w:hAnsi="宋体"/>
          <w:color w:val="000000"/>
          <w:sz w:val="24"/>
          <w:u w:val="single"/>
        </w:rPr>
        <w:t>杭州市富阳区粮食收储有限公司</w:t>
      </w:r>
      <w:r>
        <w:rPr>
          <w:rFonts w:ascii="宋体" w:hAnsi="宋体"/>
          <w:color w:val="000000"/>
          <w:sz w:val="24"/>
        </w:rPr>
        <w:t xml:space="preserve">   </w:t>
      </w:r>
      <w:r>
        <w:rPr>
          <w:rFonts w:hint="eastAsia" w:ascii="宋体" w:hAnsi="宋体"/>
          <w:color w:val="000000"/>
          <w:sz w:val="24"/>
        </w:rPr>
        <w:t xml:space="preserve">     </w:t>
      </w:r>
      <w:r>
        <w:rPr>
          <w:rFonts w:hint="eastAsia" w:ascii="宋体" w:hAnsi="宋体"/>
          <w:b/>
          <w:color w:val="000000"/>
          <w:sz w:val="24"/>
        </w:rPr>
        <w:t>合同编号</w:t>
      </w:r>
      <w:r>
        <w:rPr>
          <w:rFonts w:hint="eastAsia" w:ascii="宋体" w:hAnsi="宋体"/>
          <w:b/>
          <w:bCs/>
          <w:color w:val="000000"/>
          <w:sz w:val="24"/>
        </w:rPr>
        <w:t>：</w:t>
      </w:r>
      <w:r>
        <w:rPr>
          <w:rFonts w:hint="eastAsia" w:ascii="宋体" w:hAnsi="宋体"/>
          <w:color w:val="000000"/>
          <w:sz w:val="24"/>
        </w:rPr>
        <w:t>富粮储</w:t>
      </w:r>
      <w:r>
        <w:rPr>
          <w:rFonts w:hint="eastAsia" w:ascii="宋体" w:hAnsi="宋体"/>
          <w:color w:val="000000"/>
          <w:sz w:val="24"/>
          <w:lang w:val="en-US" w:eastAsia="zh-CN"/>
        </w:rPr>
        <w:t>油</w:t>
      </w:r>
      <w:r>
        <w:rPr>
          <w:rFonts w:hint="eastAsia" w:ascii="宋体" w:hAnsi="宋体"/>
          <w:color w:val="000000"/>
          <w:sz w:val="24"/>
        </w:rPr>
        <w:t>购</w:t>
      </w:r>
      <w:r>
        <w:rPr>
          <w:rFonts w:hint="eastAsia" w:ascii="宋体" w:hAnsi="宋体"/>
          <w:color w:val="000000"/>
          <w:sz w:val="24"/>
          <w:lang w:val="en-US" w:eastAsia="zh-CN"/>
        </w:rPr>
        <w:t>2025003</w:t>
      </w:r>
    </w:p>
    <w:p>
      <w:pPr>
        <w:spacing w:line="580" w:lineRule="exact"/>
        <w:rPr>
          <w:rFonts w:ascii="宋体" w:hAnsi="宋体"/>
          <w:color w:val="000000"/>
          <w:sz w:val="24"/>
        </w:rPr>
      </w:pPr>
      <w:r>
        <w:rPr>
          <w:rFonts w:hint="eastAsia" w:ascii="宋体" w:hAnsi="宋体"/>
          <w:b/>
          <w:color w:val="000000"/>
          <w:sz w:val="24"/>
        </w:rPr>
        <w:t>乙方</w:t>
      </w:r>
      <w:r>
        <w:rPr>
          <w:rFonts w:hint="eastAsia" w:ascii="宋体" w:hAnsi="宋体"/>
          <w:b/>
          <w:bCs/>
          <w:color w:val="000000"/>
          <w:sz w:val="24"/>
        </w:rPr>
        <w:t>：</w:t>
      </w:r>
      <w:r>
        <w:rPr>
          <w:rFonts w:hint="eastAsia" w:ascii="宋体" w:hAnsi="宋体"/>
          <w:color w:val="000000"/>
          <w:sz w:val="24"/>
          <w:u w:val="single"/>
          <w:lang w:val="en-US" w:eastAsia="zh-CN"/>
        </w:rPr>
        <w:t xml:space="preserve">                        </w:t>
      </w:r>
      <w:r>
        <w:rPr>
          <w:rFonts w:hint="eastAsia" w:ascii="宋体" w:hAnsi="宋体"/>
          <w:color w:val="000000"/>
          <w:sz w:val="24"/>
        </w:rPr>
        <w:t xml:space="preserve">         </w:t>
      </w:r>
      <w:r>
        <w:rPr>
          <w:rFonts w:hint="eastAsia" w:ascii="宋体" w:hAnsi="宋体"/>
          <w:color w:val="000000"/>
          <w:sz w:val="24"/>
          <w:lang w:val="en-US" w:eastAsia="zh-CN"/>
        </w:rPr>
        <w:t xml:space="preserve">  </w:t>
      </w:r>
      <w:r>
        <w:rPr>
          <w:rFonts w:hint="eastAsia" w:ascii="宋体" w:hAnsi="宋体"/>
          <w:color w:val="000000"/>
          <w:sz w:val="24"/>
        </w:rPr>
        <w:t xml:space="preserve"> </w:t>
      </w:r>
      <w:r>
        <w:rPr>
          <w:rFonts w:hint="eastAsia" w:ascii="宋体" w:hAnsi="宋体"/>
          <w:b/>
          <w:color w:val="000000"/>
          <w:sz w:val="24"/>
        </w:rPr>
        <w:t>签约地点：</w:t>
      </w:r>
      <w:r>
        <w:rPr>
          <w:rFonts w:hint="eastAsia" w:ascii="宋体" w:hAnsi="宋体"/>
          <w:color w:val="000000"/>
          <w:sz w:val="24"/>
        </w:rPr>
        <w:t>富阳</w:t>
      </w:r>
    </w:p>
    <w:p>
      <w:pPr>
        <w:spacing w:line="580" w:lineRule="exact"/>
        <w:rPr>
          <w:rFonts w:ascii="宋体" w:hAnsi="宋体"/>
          <w:color w:val="000000"/>
          <w:sz w:val="24"/>
        </w:rPr>
      </w:pPr>
      <w:r>
        <w:rPr>
          <w:rFonts w:ascii="宋体" w:hAnsi="宋体"/>
          <w:color w:val="000000"/>
          <w:sz w:val="24"/>
        </w:rPr>
        <w:t xml:space="preserve">                                    </w:t>
      </w:r>
      <w:r>
        <w:rPr>
          <w:rFonts w:hint="eastAsia" w:ascii="宋体" w:hAnsi="宋体"/>
          <w:color w:val="000000"/>
          <w:sz w:val="24"/>
        </w:rPr>
        <w:t xml:space="preserve">      签约日期：</w:t>
      </w:r>
      <w:r>
        <w:rPr>
          <w:rFonts w:hint="eastAsia" w:ascii="宋体" w:hAnsi="宋体"/>
          <w:color w:val="000000"/>
          <w:sz w:val="24"/>
          <w:lang w:val="en-US" w:eastAsia="zh-CN"/>
        </w:rPr>
        <w:t>****</w:t>
      </w:r>
      <w:r>
        <w:rPr>
          <w:rFonts w:hint="eastAsia" w:ascii="宋体" w:hAnsi="宋体"/>
          <w:color w:val="000000"/>
          <w:sz w:val="24"/>
        </w:rPr>
        <w:t>年</w:t>
      </w:r>
      <w:r>
        <w:rPr>
          <w:rFonts w:hint="eastAsia" w:ascii="宋体" w:hAnsi="宋体"/>
          <w:color w:val="000000"/>
          <w:sz w:val="24"/>
          <w:lang w:val="en-US" w:eastAsia="zh-CN"/>
        </w:rPr>
        <w:t>**</w:t>
      </w:r>
      <w:r>
        <w:rPr>
          <w:rFonts w:hint="eastAsia" w:ascii="宋体" w:hAnsi="宋体"/>
          <w:color w:val="000000"/>
          <w:sz w:val="24"/>
        </w:rPr>
        <w:t>月</w:t>
      </w:r>
      <w:r>
        <w:rPr>
          <w:rFonts w:hint="eastAsia" w:ascii="宋体" w:hAnsi="宋体"/>
          <w:color w:val="000000"/>
          <w:sz w:val="24"/>
          <w:lang w:val="en-US" w:eastAsia="zh-CN"/>
        </w:rPr>
        <w:t>**</w:t>
      </w:r>
      <w:r>
        <w:rPr>
          <w:rFonts w:hint="eastAsia" w:ascii="宋体" w:hAnsi="宋体"/>
          <w:color w:val="000000"/>
          <w:sz w:val="24"/>
        </w:rPr>
        <w:t>日</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ascii="宋体" w:hAnsi="宋体" w:cs="宋体"/>
          <w:color w:val="000000"/>
          <w:sz w:val="24"/>
        </w:rPr>
      </w:pPr>
      <w:r>
        <w:rPr>
          <w:rFonts w:ascii="宋体" w:hAnsi="宋体" w:cs="宋体"/>
          <w:color w:val="000000"/>
          <w:sz w:val="24"/>
        </w:rPr>
        <w:softHyphen/>
      </w:r>
      <w:r>
        <w:rPr>
          <w:rFonts w:ascii="宋体" w:hAnsi="宋体" w:cs="宋体"/>
          <w:color w:val="000000"/>
          <w:sz w:val="24"/>
        </w:rPr>
        <w:softHyphen/>
      </w:r>
      <w:r>
        <w:rPr>
          <w:rFonts w:hint="eastAsia" w:ascii="宋体" w:hAnsi="宋体" w:cs="宋体"/>
          <w:color w:val="000000"/>
          <w:sz w:val="24"/>
        </w:rPr>
        <w:t>甲方委托</w:t>
      </w:r>
      <w:r>
        <w:rPr>
          <w:rFonts w:ascii="宋体" w:hAnsi="宋体" w:cs="宋体"/>
          <w:color w:val="333333"/>
          <w:kern w:val="0"/>
          <w:sz w:val="24"/>
        </w:rPr>
        <w:t>国家粮食浙江交易中心</w:t>
      </w:r>
      <w:r>
        <w:rPr>
          <w:rFonts w:hint="eastAsia" w:ascii="宋体" w:hAnsi="宋体" w:cs="宋体"/>
          <w:color w:val="000000"/>
          <w:sz w:val="24"/>
        </w:rPr>
        <w:t>通过网上交易方式采购</w:t>
      </w:r>
      <w:r>
        <w:rPr>
          <w:rFonts w:hint="eastAsia" w:ascii="宋体" w:hAnsi="宋体" w:cs="宋体"/>
          <w:color w:val="000000"/>
          <w:sz w:val="24"/>
          <w:lang w:val="en-US" w:eastAsia="zh-CN"/>
        </w:rPr>
        <w:t>植物油</w:t>
      </w:r>
      <w:r>
        <w:rPr>
          <w:rFonts w:hint="eastAsia" w:ascii="宋体" w:hAnsi="宋体" w:cs="宋体"/>
          <w:color w:val="000000"/>
          <w:sz w:val="24"/>
        </w:rPr>
        <w:t>，</w:t>
      </w:r>
      <w:r>
        <w:rPr>
          <w:rFonts w:hint="eastAsia" w:ascii="宋体" w:hAnsi="宋体"/>
          <w:color w:val="000000"/>
          <w:sz w:val="24"/>
        </w:rPr>
        <w:t>乙方通过</w:t>
      </w:r>
      <w:r>
        <w:rPr>
          <w:rFonts w:hint="eastAsia" w:ascii="宋体" w:hAnsi="宋体" w:cs="宋体"/>
          <w:color w:val="000000"/>
          <w:sz w:val="24"/>
        </w:rPr>
        <w:t>公开竞价竞得，现依</w:t>
      </w:r>
      <w:r>
        <w:rPr>
          <w:rFonts w:hint="eastAsia" w:ascii="宋体" w:hAnsi="宋体" w:cs="宋体"/>
          <w:color w:val="auto"/>
          <w:sz w:val="24"/>
        </w:rPr>
        <w:t>照《民法典》、</w:t>
      </w:r>
      <w:r>
        <w:rPr>
          <w:rFonts w:hint="eastAsia" w:ascii="宋体" w:hAnsi="宋体" w:cs="宋体"/>
          <w:color w:val="000000"/>
          <w:sz w:val="24"/>
        </w:rPr>
        <w:t>《国家粮食</w:t>
      </w:r>
      <w:r>
        <w:rPr>
          <w:rFonts w:hint="eastAsia" w:ascii="宋体" w:hAnsi="宋体" w:cs="宋体"/>
          <w:color w:val="000000"/>
          <w:sz w:val="24"/>
          <w:lang w:val="en-US" w:eastAsia="zh-CN"/>
        </w:rPr>
        <w:t>浙江</w:t>
      </w:r>
      <w:r>
        <w:rPr>
          <w:rFonts w:hint="eastAsia" w:ascii="宋体" w:hAnsi="宋体" w:cs="宋体"/>
          <w:color w:val="000000"/>
          <w:sz w:val="24"/>
        </w:rPr>
        <w:t>交易中心网上竞价交易规则》和当期《交易公告》等有关规定，经采甲、乙</w:t>
      </w:r>
      <w:r>
        <w:rPr>
          <w:rFonts w:hint="eastAsia" w:ascii="宋体" w:hAnsi="宋体"/>
          <w:color w:val="000000"/>
          <w:sz w:val="24"/>
        </w:rPr>
        <w:t>双方协商，签订本合同如下。</w:t>
      </w:r>
    </w:p>
    <w:p>
      <w:pPr>
        <w:pStyle w:val="5"/>
        <w:spacing w:before="0" w:beforeAutospacing="0" w:after="0" w:afterAutospacing="0" w:line="580" w:lineRule="exact"/>
        <w:ind w:firstLine="480" w:firstLineChars="200"/>
        <w:rPr>
          <w:color w:val="000000"/>
          <w:kern w:val="2"/>
        </w:rPr>
      </w:pPr>
      <w:r>
        <w:rPr>
          <w:rFonts w:hint="eastAsia"/>
          <w:color w:val="000000"/>
          <w:kern w:val="2"/>
        </w:rPr>
        <w:t>一、标的号、品种、等级、</w:t>
      </w:r>
      <w:r>
        <w:rPr>
          <w:rFonts w:hint="eastAsia"/>
          <w:color w:val="000000"/>
          <w:kern w:val="2"/>
          <w:lang w:val="en-US" w:eastAsia="zh-CN"/>
        </w:rPr>
        <w:t>品牌、</w:t>
      </w:r>
      <w:r>
        <w:rPr>
          <w:rFonts w:hint="eastAsia"/>
          <w:color w:val="000000"/>
          <w:kern w:val="2"/>
        </w:rPr>
        <w:t>数量、</w:t>
      </w:r>
      <w:r>
        <w:rPr>
          <w:rFonts w:hint="eastAsia"/>
          <w:color w:val="000000"/>
          <w:kern w:val="2"/>
          <w:lang w:val="en-US" w:eastAsia="zh-CN"/>
        </w:rPr>
        <w:t>价格</w:t>
      </w:r>
      <w:r>
        <w:rPr>
          <w:rFonts w:hint="eastAsia"/>
          <w:color w:val="000000"/>
          <w:kern w:val="2"/>
        </w:rPr>
        <w:t>：</w:t>
      </w:r>
      <w:r>
        <w:rPr>
          <w:color w:val="000000"/>
          <w:kern w:val="2"/>
        </w:rPr>
        <w:t xml:space="preserve"> </w:t>
      </w:r>
    </w:p>
    <w:tbl>
      <w:tblPr>
        <w:tblStyle w:val="6"/>
        <w:tblW w:w="10335" w:type="dxa"/>
        <w:jc w:val="center"/>
        <w:tblBorders>
          <w:top w:val="outset" w:color="000000" w:themeColor="text1" w:sz="6" w:space="0"/>
          <w:left w:val="outset" w:color="000000" w:themeColor="text1" w:sz="6" w:space="0"/>
          <w:bottom w:val="outset" w:color="000000" w:themeColor="text1" w:sz="6" w:space="0"/>
          <w:right w:val="outset" w:color="000000" w:themeColor="text1" w:sz="6" w:space="0"/>
          <w:insideH w:val="outset" w:color="000000" w:themeColor="text1" w:sz="6" w:space="0"/>
          <w:insideV w:val="outset" w:color="000000" w:themeColor="text1" w:sz="6" w:space="0"/>
        </w:tblBorders>
        <w:tblLayout w:type="fixed"/>
        <w:tblCellMar>
          <w:top w:w="0" w:type="dxa"/>
          <w:left w:w="0" w:type="dxa"/>
          <w:bottom w:w="0" w:type="dxa"/>
          <w:right w:w="0" w:type="dxa"/>
        </w:tblCellMar>
      </w:tblPr>
      <w:tblGrid>
        <w:gridCol w:w="795"/>
        <w:gridCol w:w="1305"/>
        <w:gridCol w:w="840"/>
        <w:gridCol w:w="1005"/>
        <w:gridCol w:w="1320"/>
        <w:gridCol w:w="1545"/>
        <w:gridCol w:w="1575"/>
        <w:gridCol w:w="1950"/>
      </w:tblGrid>
      <w:tr>
        <w:tblPrEx>
          <w:tblBorders>
            <w:top w:val="outset" w:color="000000" w:themeColor="text1" w:sz="6" w:space="0"/>
            <w:left w:val="outset" w:color="000000" w:themeColor="text1" w:sz="6" w:space="0"/>
            <w:bottom w:val="outset" w:color="000000" w:themeColor="text1" w:sz="6" w:space="0"/>
            <w:right w:val="outset" w:color="000000" w:themeColor="text1" w:sz="6" w:space="0"/>
            <w:insideH w:val="outset" w:color="000000" w:themeColor="text1" w:sz="6" w:space="0"/>
            <w:insideV w:val="outset" w:color="000000" w:themeColor="text1" w:sz="6" w:space="0"/>
          </w:tblBorders>
          <w:tblCellMar>
            <w:top w:w="0" w:type="dxa"/>
            <w:left w:w="0" w:type="dxa"/>
            <w:bottom w:w="0" w:type="dxa"/>
            <w:right w:w="0" w:type="dxa"/>
          </w:tblCellMar>
        </w:tblPrEx>
        <w:trPr>
          <w:trHeight w:val="360" w:hRule="atLeast"/>
          <w:jc w:val="center"/>
        </w:trPr>
        <w:tc>
          <w:tcPr>
            <w:tcW w:w="795" w:type="dxa"/>
            <w:tcBorders>
              <w:tl2br w:val="nil"/>
              <w:tr2bl w:val="nil"/>
            </w:tcBorders>
            <w:shd w:val="clear" w:color="auto" w:fill="FFFFFF"/>
            <w:vAlign w:val="center"/>
          </w:tcPr>
          <w:p>
            <w:pPr>
              <w:pStyle w:val="5"/>
              <w:spacing w:before="0" w:beforeAutospacing="0" w:after="0" w:afterAutospacing="0" w:line="480" w:lineRule="auto"/>
              <w:jc w:val="center"/>
              <w:rPr>
                <w:color w:val="auto"/>
              </w:rPr>
            </w:pPr>
            <w:r>
              <w:rPr>
                <w:rFonts w:hint="eastAsia"/>
                <w:color w:val="auto"/>
              </w:rPr>
              <w:t>标的号</w:t>
            </w:r>
            <w:r>
              <w:rPr>
                <w:color w:val="auto"/>
              </w:rPr>
              <w:t xml:space="preserve"> </w:t>
            </w:r>
          </w:p>
        </w:tc>
        <w:tc>
          <w:tcPr>
            <w:tcW w:w="1305" w:type="dxa"/>
            <w:tcBorders>
              <w:tl2br w:val="nil"/>
              <w:tr2bl w:val="nil"/>
            </w:tcBorders>
            <w:shd w:val="clear" w:color="auto" w:fill="FFFFFF"/>
            <w:vAlign w:val="center"/>
          </w:tcPr>
          <w:p>
            <w:pPr>
              <w:pStyle w:val="5"/>
              <w:spacing w:before="0" w:beforeAutospacing="0" w:after="0" w:afterAutospacing="0" w:line="480" w:lineRule="auto"/>
              <w:jc w:val="center"/>
              <w:rPr>
                <w:color w:val="auto"/>
              </w:rPr>
            </w:pPr>
            <w:r>
              <w:rPr>
                <w:rFonts w:hint="eastAsia"/>
                <w:color w:val="auto"/>
              </w:rPr>
              <w:t>品种</w:t>
            </w:r>
            <w:r>
              <w:rPr>
                <w:color w:val="auto"/>
              </w:rPr>
              <w:t xml:space="preserve"> </w:t>
            </w:r>
          </w:p>
        </w:tc>
        <w:tc>
          <w:tcPr>
            <w:tcW w:w="840" w:type="dxa"/>
            <w:tcBorders>
              <w:tl2br w:val="nil"/>
              <w:tr2bl w:val="nil"/>
            </w:tcBorders>
            <w:shd w:val="clear" w:color="auto" w:fill="FFFFFF"/>
            <w:vAlign w:val="center"/>
          </w:tcPr>
          <w:p>
            <w:pPr>
              <w:pStyle w:val="5"/>
              <w:spacing w:before="0" w:beforeAutospacing="0" w:after="0" w:afterAutospacing="0" w:line="480" w:lineRule="auto"/>
              <w:jc w:val="center"/>
              <w:rPr>
                <w:color w:val="auto"/>
              </w:rPr>
            </w:pPr>
            <w:r>
              <w:rPr>
                <w:rFonts w:hint="eastAsia"/>
                <w:color w:val="auto"/>
              </w:rPr>
              <w:t>等级</w:t>
            </w:r>
            <w:r>
              <w:rPr>
                <w:color w:val="auto"/>
              </w:rPr>
              <w:t xml:space="preserve"> </w:t>
            </w:r>
          </w:p>
        </w:tc>
        <w:tc>
          <w:tcPr>
            <w:tcW w:w="1005" w:type="dxa"/>
            <w:tcBorders>
              <w:tl2br w:val="nil"/>
              <w:tr2bl w:val="nil"/>
            </w:tcBorders>
            <w:shd w:val="clear" w:color="auto" w:fill="FFFFFF"/>
            <w:vAlign w:val="center"/>
          </w:tcPr>
          <w:p>
            <w:pPr>
              <w:pStyle w:val="5"/>
              <w:spacing w:before="0" w:beforeAutospacing="0" w:after="0" w:afterAutospacing="0" w:line="480" w:lineRule="auto"/>
              <w:jc w:val="center"/>
              <w:rPr>
                <w:rFonts w:hint="eastAsia" w:eastAsia="宋体"/>
                <w:color w:val="auto"/>
                <w:lang w:val="en-US" w:eastAsia="zh-CN"/>
              </w:rPr>
            </w:pPr>
            <w:r>
              <w:rPr>
                <w:rFonts w:hint="eastAsia"/>
                <w:color w:val="auto"/>
                <w:lang w:val="en-US" w:eastAsia="zh-CN"/>
              </w:rPr>
              <w:t>品牌</w:t>
            </w:r>
          </w:p>
        </w:tc>
        <w:tc>
          <w:tcPr>
            <w:tcW w:w="1320" w:type="dxa"/>
            <w:tcBorders>
              <w:tl2br w:val="nil"/>
              <w:tr2bl w:val="nil"/>
            </w:tcBorders>
            <w:shd w:val="clear" w:color="auto" w:fill="FFFFFF"/>
            <w:vAlign w:val="center"/>
          </w:tcPr>
          <w:p>
            <w:pPr>
              <w:pStyle w:val="5"/>
              <w:spacing w:before="0" w:beforeAutospacing="0" w:after="0" w:afterAutospacing="0" w:line="480" w:lineRule="auto"/>
              <w:jc w:val="center"/>
              <w:rPr>
                <w:color w:val="auto"/>
              </w:rPr>
            </w:pPr>
            <w:r>
              <w:rPr>
                <w:rFonts w:hint="eastAsia"/>
                <w:color w:val="auto"/>
              </w:rPr>
              <w:t>数量（吨）</w:t>
            </w:r>
            <w:r>
              <w:rPr>
                <w:color w:val="auto"/>
              </w:rPr>
              <w:t xml:space="preserve"> </w:t>
            </w:r>
          </w:p>
        </w:tc>
        <w:tc>
          <w:tcPr>
            <w:tcW w:w="1545" w:type="dxa"/>
            <w:tcBorders>
              <w:tl2br w:val="nil"/>
              <w:tr2bl w:val="nil"/>
            </w:tcBorders>
            <w:shd w:val="clear" w:color="auto" w:fill="FFFFFF"/>
            <w:vAlign w:val="center"/>
          </w:tcPr>
          <w:p>
            <w:pPr>
              <w:pStyle w:val="5"/>
              <w:spacing w:before="0" w:beforeAutospacing="0" w:after="0" w:afterAutospacing="0" w:line="480" w:lineRule="auto"/>
              <w:jc w:val="center"/>
              <w:rPr>
                <w:color w:val="auto"/>
              </w:rPr>
            </w:pPr>
            <w:r>
              <w:rPr>
                <w:rFonts w:hint="eastAsia"/>
                <w:color w:val="auto"/>
              </w:rPr>
              <w:t>单价（元</w:t>
            </w:r>
            <w:r>
              <w:rPr>
                <w:color w:val="auto"/>
              </w:rPr>
              <w:t>/</w:t>
            </w:r>
            <w:r>
              <w:rPr>
                <w:rFonts w:hint="eastAsia"/>
                <w:color w:val="auto"/>
              </w:rPr>
              <w:t>吨）</w:t>
            </w:r>
            <w:r>
              <w:rPr>
                <w:color w:val="auto"/>
              </w:rPr>
              <w:t xml:space="preserve"> </w:t>
            </w:r>
          </w:p>
        </w:tc>
        <w:tc>
          <w:tcPr>
            <w:tcW w:w="1575" w:type="dxa"/>
            <w:tcBorders>
              <w:tl2br w:val="nil"/>
              <w:tr2bl w:val="nil"/>
            </w:tcBorders>
            <w:shd w:val="clear" w:color="auto" w:fill="FFFFFF"/>
          </w:tcPr>
          <w:p>
            <w:pPr>
              <w:pStyle w:val="5"/>
              <w:spacing w:before="0" w:beforeAutospacing="0" w:after="0" w:afterAutospacing="0" w:line="480" w:lineRule="auto"/>
              <w:jc w:val="center"/>
              <w:rPr>
                <w:color w:val="auto"/>
              </w:rPr>
            </w:pPr>
            <w:r>
              <w:rPr>
                <w:rFonts w:hint="eastAsia"/>
                <w:color w:val="auto"/>
              </w:rPr>
              <w:t>金额（元）</w:t>
            </w:r>
          </w:p>
        </w:tc>
        <w:tc>
          <w:tcPr>
            <w:tcW w:w="1950" w:type="dxa"/>
            <w:tcBorders>
              <w:tl2br w:val="nil"/>
              <w:tr2bl w:val="nil"/>
            </w:tcBorders>
            <w:shd w:val="clear" w:color="auto" w:fill="FFFFFF"/>
            <w:vAlign w:val="center"/>
          </w:tcPr>
          <w:p>
            <w:pPr>
              <w:pStyle w:val="5"/>
              <w:spacing w:before="0" w:beforeAutospacing="0" w:after="0" w:afterAutospacing="0" w:line="480" w:lineRule="auto"/>
              <w:jc w:val="center"/>
              <w:rPr>
                <w:color w:val="auto"/>
              </w:rPr>
            </w:pPr>
            <w:r>
              <w:rPr>
                <w:rFonts w:hint="eastAsia"/>
                <w:color w:val="auto"/>
              </w:rPr>
              <w:t>入库仓号</w:t>
            </w:r>
          </w:p>
        </w:tc>
      </w:tr>
      <w:tr>
        <w:tblPrEx>
          <w:tblBorders>
            <w:top w:val="outset" w:color="000000" w:themeColor="text1" w:sz="6" w:space="0"/>
            <w:left w:val="outset" w:color="000000" w:themeColor="text1" w:sz="6" w:space="0"/>
            <w:bottom w:val="outset" w:color="000000" w:themeColor="text1" w:sz="6" w:space="0"/>
            <w:right w:val="outset" w:color="000000" w:themeColor="text1" w:sz="6" w:space="0"/>
            <w:insideH w:val="outset" w:color="000000" w:themeColor="text1" w:sz="6" w:space="0"/>
            <w:insideV w:val="outset" w:color="000000" w:themeColor="text1" w:sz="6" w:space="0"/>
          </w:tblBorders>
          <w:tblCellMar>
            <w:top w:w="0" w:type="dxa"/>
            <w:left w:w="0" w:type="dxa"/>
            <w:bottom w:w="0" w:type="dxa"/>
            <w:right w:w="0" w:type="dxa"/>
          </w:tblCellMar>
        </w:tblPrEx>
        <w:trPr>
          <w:trHeight w:val="468" w:hRule="atLeast"/>
          <w:jc w:val="center"/>
        </w:trPr>
        <w:tc>
          <w:tcPr>
            <w:tcW w:w="795" w:type="dxa"/>
            <w:tcBorders>
              <w:tl2br w:val="nil"/>
              <w:tr2bl w:val="nil"/>
            </w:tcBorders>
            <w:shd w:val="clear" w:color="auto" w:fill="FFFFFF"/>
            <w:vAlign w:val="center"/>
          </w:tcPr>
          <w:p>
            <w:pPr>
              <w:pStyle w:val="5"/>
              <w:jc w:val="center"/>
              <w:rPr>
                <w:rFonts w:hint="default" w:eastAsia="宋体"/>
                <w:color w:val="auto"/>
                <w:lang w:val="en-US" w:eastAsia="zh-CN"/>
              </w:rPr>
            </w:pPr>
          </w:p>
        </w:tc>
        <w:tc>
          <w:tcPr>
            <w:tcW w:w="1305" w:type="dxa"/>
            <w:tcBorders>
              <w:tl2br w:val="nil"/>
              <w:tr2bl w:val="nil"/>
            </w:tcBorders>
            <w:shd w:val="clear" w:color="auto" w:fill="FFFFFF"/>
            <w:vAlign w:val="center"/>
          </w:tcPr>
          <w:p>
            <w:pPr>
              <w:pStyle w:val="5"/>
              <w:jc w:val="center"/>
              <w:rPr>
                <w:rFonts w:hint="eastAsia" w:eastAsia="宋体"/>
                <w:color w:val="auto"/>
                <w:lang w:val="en-US" w:eastAsia="zh-CN"/>
              </w:rPr>
            </w:pPr>
          </w:p>
        </w:tc>
        <w:tc>
          <w:tcPr>
            <w:tcW w:w="840" w:type="dxa"/>
            <w:tcBorders>
              <w:tl2br w:val="nil"/>
              <w:tr2bl w:val="nil"/>
            </w:tcBorders>
            <w:shd w:val="clear" w:color="auto" w:fill="FFFFFF"/>
            <w:vAlign w:val="center"/>
          </w:tcPr>
          <w:p>
            <w:pPr>
              <w:pStyle w:val="5"/>
              <w:jc w:val="center"/>
              <w:rPr>
                <w:rFonts w:hint="eastAsia" w:eastAsia="宋体"/>
                <w:color w:val="auto"/>
                <w:lang w:val="en-US" w:eastAsia="zh-CN"/>
              </w:rPr>
            </w:pPr>
          </w:p>
        </w:tc>
        <w:tc>
          <w:tcPr>
            <w:tcW w:w="1005" w:type="dxa"/>
            <w:tcBorders>
              <w:tl2br w:val="nil"/>
              <w:tr2bl w:val="nil"/>
            </w:tcBorders>
            <w:shd w:val="clear" w:color="auto" w:fill="FFFFFF"/>
            <w:vAlign w:val="center"/>
          </w:tcPr>
          <w:p>
            <w:pPr>
              <w:pStyle w:val="5"/>
              <w:jc w:val="center"/>
              <w:rPr>
                <w:rFonts w:hint="default"/>
                <w:color w:val="auto"/>
                <w:lang w:val="en-US" w:eastAsia="zh-CN"/>
              </w:rPr>
            </w:pPr>
          </w:p>
        </w:tc>
        <w:tc>
          <w:tcPr>
            <w:tcW w:w="1320" w:type="dxa"/>
            <w:tcBorders>
              <w:tl2br w:val="nil"/>
              <w:tr2bl w:val="nil"/>
            </w:tcBorders>
            <w:shd w:val="clear" w:color="auto" w:fill="FFFFFF"/>
            <w:vAlign w:val="center"/>
          </w:tcPr>
          <w:p>
            <w:pPr>
              <w:pStyle w:val="5"/>
              <w:jc w:val="center"/>
              <w:rPr>
                <w:rFonts w:hint="default" w:eastAsia="宋体"/>
                <w:color w:val="auto"/>
                <w:lang w:val="en-US" w:eastAsia="zh-CN"/>
              </w:rPr>
            </w:pPr>
          </w:p>
        </w:tc>
        <w:tc>
          <w:tcPr>
            <w:tcW w:w="1545" w:type="dxa"/>
            <w:tcBorders>
              <w:tl2br w:val="nil"/>
              <w:tr2bl w:val="nil"/>
            </w:tcBorders>
            <w:shd w:val="clear" w:color="auto" w:fill="FFFFFF"/>
            <w:vAlign w:val="center"/>
          </w:tcPr>
          <w:p>
            <w:pPr>
              <w:pStyle w:val="5"/>
              <w:jc w:val="center"/>
              <w:rPr>
                <w:color w:val="auto"/>
              </w:rPr>
            </w:pPr>
          </w:p>
        </w:tc>
        <w:tc>
          <w:tcPr>
            <w:tcW w:w="1575" w:type="dxa"/>
            <w:tcBorders>
              <w:tl2br w:val="nil"/>
              <w:tr2bl w:val="nil"/>
            </w:tcBorders>
            <w:shd w:val="clear" w:color="auto" w:fill="FFFFFF"/>
            <w:vAlign w:val="center"/>
          </w:tcPr>
          <w:p>
            <w:pPr>
              <w:pStyle w:val="5"/>
              <w:jc w:val="center"/>
              <w:rPr>
                <w:rFonts w:hint="eastAsia"/>
                <w:color w:val="auto"/>
                <w:lang w:val="en-US" w:eastAsia="zh-CN"/>
              </w:rPr>
            </w:pPr>
          </w:p>
        </w:tc>
        <w:tc>
          <w:tcPr>
            <w:tcW w:w="1950" w:type="dxa"/>
            <w:tcBorders>
              <w:tl2br w:val="nil"/>
              <w:tr2bl w:val="nil"/>
            </w:tcBorders>
            <w:shd w:val="clear" w:color="auto" w:fill="FFFFFF"/>
            <w:vAlign w:val="center"/>
          </w:tcPr>
          <w:p>
            <w:pPr>
              <w:pStyle w:val="5"/>
              <w:jc w:val="center"/>
              <w:rPr>
                <w:rFonts w:hint="default"/>
                <w:color w:val="auto"/>
                <w:lang w:val="en-US"/>
              </w:rPr>
            </w:pPr>
          </w:p>
        </w:tc>
      </w:tr>
      <w:tr>
        <w:tblPrEx>
          <w:tblBorders>
            <w:top w:val="outset" w:color="000000" w:themeColor="text1" w:sz="6" w:space="0"/>
            <w:left w:val="outset" w:color="000000" w:themeColor="text1" w:sz="6" w:space="0"/>
            <w:bottom w:val="outset" w:color="000000" w:themeColor="text1" w:sz="6" w:space="0"/>
            <w:right w:val="outset" w:color="000000" w:themeColor="text1" w:sz="6" w:space="0"/>
            <w:insideH w:val="outset" w:color="000000" w:themeColor="text1" w:sz="6" w:space="0"/>
            <w:insideV w:val="outset" w:color="000000" w:themeColor="text1" w:sz="6" w:space="0"/>
          </w:tblBorders>
          <w:tblCellMar>
            <w:top w:w="0" w:type="dxa"/>
            <w:left w:w="0" w:type="dxa"/>
            <w:bottom w:w="0" w:type="dxa"/>
            <w:right w:w="0" w:type="dxa"/>
          </w:tblCellMar>
        </w:tblPrEx>
        <w:trPr>
          <w:trHeight w:val="468" w:hRule="atLeast"/>
          <w:jc w:val="center"/>
        </w:trPr>
        <w:tc>
          <w:tcPr>
            <w:tcW w:w="795" w:type="dxa"/>
            <w:tcBorders>
              <w:tl2br w:val="nil"/>
              <w:tr2bl w:val="nil"/>
            </w:tcBorders>
            <w:shd w:val="clear" w:color="auto" w:fill="FFFFFF"/>
            <w:vAlign w:val="center"/>
          </w:tcPr>
          <w:p>
            <w:pPr>
              <w:pStyle w:val="5"/>
              <w:jc w:val="center"/>
              <w:rPr>
                <w:rFonts w:hint="eastAsia" w:ascii="宋体" w:hAnsi="宋体" w:eastAsia="宋体" w:cs="宋体"/>
                <w:color w:val="auto"/>
                <w:kern w:val="0"/>
                <w:sz w:val="24"/>
                <w:szCs w:val="24"/>
                <w:lang w:val="en-US" w:eastAsia="zh-CN" w:bidi="ar-SA"/>
              </w:rPr>
            </w:pPr>
          </w:p>
        </w:tc>
        <w:tc>
          <w:tcPr>
            <w:tcW w:w="1305" w:type="dxa"/>
            <w:tcBorders>
              <w:tl2br w:val="nil"/>
              <w:tr2bl w:val="nil"/>
            </w:tcBorders>
            <w:shd w:val="clear" w:color="auto" w:fill="FFFFFF"/>
            <w:vAlign w:val="center"/>
          </w:tcPr>
          <w:p>
            <w:pPr>
              <w:pStyle w:val="5"/>
              <w:jc w:val="center"/>
              <w:rPr>
                <w:rFonts w:hint="eastAsia" w:ascii="宋体" w:hAnsi="宋体" w:eastAsia="宋体" w:cs="宋体"/>
                <w:color w:val="auto"/>
                <w:kern w:val="0"/>
                <w:sz w:val="24"/>
                <w:szCs w:val="24"/>
                <w:lang w:val="en-US" w:eastAsia="zh-CN" w:bidi="ar-SA"/>
              </w:rPr>
            </w:pPr>
          </w:p>
        </w:tc>
        <w:tc>
          <w:tcPr>
            <w:tcW w:w="840" w:type="dxa"/>
            <w:tcBorders>
              <w:tl2br w:val="nil"/>
              <w:tr2bl w:val="nil"/>
            </w:tcBorders>
            <w:shd w:val="clear" w:color="auto" w:fill="FFFFFF"/>
            <w:vAlign w:val="center"/>
          </w:tcPr>
          <w:p>
            <w:pPr>
              <w:pStyle w:val="5"/>
              <w:jc w:val="center"/>
              <w:rPr>
                <w:rFonts w:hint="eastAsia" w:ascii="宋体" w:hAnsi="宋体" w:eastAsia="宋体" w:cs="宋体"/>
                <w:color w:val="auto"/>
                <w:kern w:val="0"/>
                <w:sz w:val="24"/>
                <w:szCs w:val="24"/>
                <w:lang w:val="en-US" w:eastAsia="zh-CN" w:bidi="ar-SA"/>
              </w:rPr>
            </w:pPr>
          </w:p>
        </w:tc>
        <w:tc>
          <w:tcPr>
            <w:tcW w:w="1005" w:type="dxa"/>
            <w:tcBorders>
              <w:tl2br w:val="nil"/>
              <w:tr2bl w:val="nil"/>
            </w:tcBorders>
            <w:shd w:val="clear" w:color="auto" w:fill="FFFFFF"/>
            <w:vAlign w:val="center"/>
          </w:tcPr>
          <w:p>
            <w:pPr>
              <w:pStyle w:val="5"/>
              <w:jc w:val="center"/>
              <w:rPr>
                <w:rFonts w:hint="eastAsia" w:ascii="宋体" w:hAnsi="宋体" w:eastAsia="宋体" w:cs="宋体"/>
                <w:color w:val="auto"/>
                <w:kern w:val="0"/>
                <w:sz w:val="24"/>
                <w:szCs w:val="24"/>
                <w:lang w:val="en-US" w:eastAsia="zh-CN" w:bidi="ar-SA"/>
              </w:rPr>
            </w:pPr>
          </w:p>
        </w:tc>
        <w:tc>
          <w:tcPr>
            <w:tcW w:w="1320" w:type="dxa"/>
            <w:tcBorders>
              <w:tl2br w:val="nil"/>
              <w:tr2bl w:val="nil"/>
            </w:tcBorders>
            <w:shd w:val="clear" w:color="auto" w:fill="FFFFFF"/>
            <w:vAlign w:val="center"/>
          </w:tcPr>
          <w:p>
            <w:pPr>
              <w:pStyle w:val="5"/>
              <w:jc w:val="center"/>
              <w:rPr>
                <w:rFonts w:hint="eastAsia" w:ascii="宋体" w:hAnsi="宋体" w:eastAsia="宋体" w:cs="宋体"/>
                <w:color w:val="auto"/>
                <w:kern w:val="0"/>
                <w:sz w:val="24"/>
                <w:szCs w:val="24"/>
                <w:lang w:val="en-US" w:eastAsia="zh-CN" w:bidi="ar-SA"/>
              </w:rPr>
            </w:pPr>
          </w:p>
        </w:tc>
        <w:tc>
          <w:tcPr>
            <w:tcW w:w="1545" w:type="dxa"/>
            <w:tcBorders>
              <w:tl2br w:val="nil"/>
              <w:tr2bl w:val="nil"/>
            </w:tcBorders>
            <w:shd w:val="clear" w:color="auto" w:fill="FFFFFF"/>
            <w:vAlign w:val="center"/>
          </w:tcPr>
          <w:p>
            <w:pPr>
              <w:pStyle w:val="5"/>
              <w:jc w:val="center"/>
              <w:rPr>
                <w:rFonts w:hint="eastAsia" w:ascii="宋体" w:hAnsi="宋体" w:eastAsia="宋体" w:cs="宋体"/>
                <w:color w:val="auto"/>
                <w:kern w:val="0"/>
                <w:sz w:val="24"/>
                <w:szCs w:val="24"/>
                <w:lang w:val="en-US" w:eastAsia="zh-CN" w:bidi="ar-SA"/>
              </w:rPr>
            </w:pPr>
          </w:p>
        </w:tc>
        <w:tc>
          <w:tcPr>
            <w:tcW w:w="1575" w:type="dxa"/>
            <w:tcBorders>
              <w:tl2br w:val="nil"/>
              <w:tr2bl w:val="nil"/>
            </w:tcBorders>
            <w:shd w:val="clear" w:color="auto" w:fill="FFFFFF"/>
            <w:vAlign w:val="center"/>
          </w:tcPr>
          <w:p>
            <w:pPr>
              <w:pStyle w:val="5"/>
              <w:jc w:val="center"/>
              <w:rPr>
                <w:rFonts w:hint="eastAsia"/>
                <w:color w:val="auto"/>
                <w:lang w:val="en-US" w:eastAsia="zh-CN"/>
              </w:rPr>
            </w:pPr>
          </w:p>
        </w:tc>
        <w:tc>
          <w:tcPr>
            <w:tcW w:w="1950" w:type="dxa"/>
            <w:tcBorders>
              <w:tl2br w:val="nil"/>
              <w:tr2bl w:val="nil"/>
            </w:tcBorders>
            <w:shd w:val="clear" w:color="auto" w:fill="FFFFFF"/>
            <w:vAlign w:val="center"/>
          </w:tcPr>
          <w:p>
            <w:pPr>
              <w:pStyle w:val="5"/>
              <w:jc w:val="center"/>
              <w:rPr>
                <w:rFonts w:hint="eastAsia" w:ascii="宋体" w:hAnsi="宋体" w:eastAsia="宋体" w:cs="宋体"/>
                <w:color w:val="auto"/>
                <w:kern w:val="0"/>
                <w:sz w:val="24"/>
                <w:szCs w:val="24"/>
                <w:lang w:val="en-US" w:eastAsia="zh-CN" w:bidi="ar-SA"/>
              </w:rPr>
            </w:pPr>
          </w:p>
        </w:tc>
      </w:tr>
      <w:tr>
        <w:tblPrEx>
          <w:tblBorders>
            <w:top w:val="outset" w:color="000000" w:themeColor="text1" w:sz="6" w:space="0"/>
            <w:left w:val="outset" w:color="000000" w:themeColor="text1" w:sz="6" w:space="0"/>
            <w:bottom w:val="outset" w:color="000000" w:themeColor="text1" w:sz="6" w:space="0"/>
            <w:right w:val="outset" w:color="000000" w:themeColor="text1" w:sz="6" w:space="0"/>
            <w:insideH w:val="outset" w:color="000000" w:themeColor="text1" w:sz="6" w:space="0"/>
            <w:insideV w:val="outset" w:color="000000" w:themeColor="text1" w:sz="6" w:space="0"/>
          </w:tblBorders>
          <w:tblCellMar>
            <w:top w:w="0" w:type="dxa"/>
            <w:left w:w="0" w:type="dxa"/>
            <w:bottom w:w="0" w:type="dxa"/>
            <w:right w:w="0" w:type="dxa"/>
          </w:tblCellMar>
        </w:tblPrEx>
        <w:trPr>
          <w:trHeight w:val="360" w:hRule="atLeast"/>
          <w:jc w:val="center"/>
        </w:trPr>
        <w:tc>
          <w:tcPr>
            <w:tcW w:w="795" w:type="dxa"/>
            <w:tcBorders>
              <w:tl2br w:val="nil"/>
              <w:tr2bl w:val="nil"/>
            </w:tcBorders>
            <w:shd w:val="clear" w:color="auto" w:fill="FFFFFF"/>
            <w:vAlign w:val="center"/>
          </w:tcPr>
          <w:p>
            <w:pPr>
              <w:pStyle w:val="5"/>
              <w:spacing w:before="0" w:beforeAutospacing="0" w:after="0" w:afterAutospacing="0" w:line="580" w:lineRule="exact"/>
              <w:jc w:val="center"/>
              <w:rPr>
                <w:color w:val="auto"/>
              </w:rPr>
            </w:pPr>
            <w:r>
              <w:rPr>
                <w:rFonts w:hint="eastAsia"/>
                <w:color w:val="auto"/>
              </w:rPr>
              <w:t>合计</w:t>
            </w:r>
          </w:p>
        </w:tc>
        <w:tc>
          <w:tcPr>
            <w:tcW w:w="1305" w:type="dxa"/>
            <w:tcBorders>
              <w:tl2br w:val="nil"/>
              <w:tr2bl w:val="nil"/>
            </w:tcBorders>
            <w:shd w:val="clear" w:color="auto" w:fill="FFFFFF"/>
            <w:vAlign w:val="center"/>
          </w:tcPr>
          <w:p>
            <w:pPr>
              <w:pStyle w:val="5"/>
              <w:spacing w:before="0" w:beforeAutospacing="0" w:after="0" w:afterAutospacing="0" w:line="580" w:lineRule="exact"/>
              <w:jc w:val="center"/>
              <w:rPr>
                <w:color w:val="auto"/>
              </w:rPr>
            </w:pPr>
          </w:p>
        </w:tc>
        <w:tc>
          <w:tcPr>
            <w:tcW w:w="840" w:type="dxa"/>
            <w:tcBorders>
              <w:tl2br w:val="nil"/>
              <w:tr2bl w:val="nil"/>
            </w:tcBorders>
            <w:shd w:val="clear" w:color="auto" w:fill="FFFFFF"/>
            <w:vAlign w:val="center"/>
          </w:tcPr>
          <w:p>
            <w:pPr>
              <w:pStyle w:val="5"/>
              <w:spacing w:before="0" w:beforeAutospacing="0" w:after="0" w:afterAutospacing="0" w:line="580" w:lineRule="exact"/>
              <w:jc w:val="center"/>
              <w:rPr>
                <w:color w:val="auto"/>
              </w:rPr>
            </w:pPr>
          </w:p>
        </w:tc>
        <w:tc>
          <w:tcPr>
            <w:tcW w:w="1005" w:type="dxa"/>
            <w:tcBorders>
              <w:tl2br w:val="nil"/>
              <w:tr2bl w:val="nil"/>
            </w:tcBorders>
            <w:shd w:val="clear" w:color="auto" w:fill="FFFFFF"/>
            <w:vAlign w:val="center"/>
          </w:tcPr>
          <w:p>
            <w:pPr>
              <w:pStyle w:val="5"/>
              <w:spacing w:before="0" w:beforeAutospacing="0" w:after="0" w:afterAutospacing="0" w:line="580" w:lineRule="exact"/>
              <w:jc w:val="center"/>
              <w:rPr>
                <w:color w:val="auto"/>
              </w:rPr>
            </w:pPr>
          </w:p>
        </w:tc>
        <w:tc>
          <w:tcPr>
            <w:tcW w:w="1320" w:type="dxa"/>
            <w:tcBorders>
              <w:tl2br w:val="nil"/>
              <w:tr2bl w:val="nil"/>
            </w:tcBorders>
            <w:shd w:val="clear" w:color="auto" w:fill="FFFFFF"/>
            <w:vAlign w:val="center"/>
          </w:tcPr>
          <w:p>
            <w:pPr>
              <w:pStyle w:val="5"/>
              <w:spacing w:before="0" w:beforeAutospacing="0" w:after="0" w:afterAutospacing="0" w:line="580" w:lineRule="exact"/>
              <w:jc w:val="center"/>
              <w:rPr>
                <w:color w:val="auto"/>
              </w:rPr>
            </w:pPr>
          </w:p>
        </w:tc>
        <w:tc>
          <w:tcPr>
            <w:tcW w:w="1545" w:type="dxa"/>
            <w:tcBorders>
              <w:tl2br w:val="nil"/>
              <w:tr2bl w:val="nil"/>
            </w:tcBorders>
            <w:shd w:val="clear" w:color="auto" w:fill="FFFFFF"/>
            <w:vAlign w:val="center"/>
          </w:tcPr>
          <w:p>
            <w:pPr>
              <w:spacing w:line="580" w:lineRule="exact"/>
              <w:jc w:val="center"/>
              <w:rPr>
                <w:rFonts w:cs="宋体" w:asciiTheme="minorEastAsia" w:hAnsiTheme="minorEastAsia" w:eastAsiaTheme="minorEastAsia"/>
                <w:color w:val="auto"/>
                <w:sz w:val="24"/>
              </w:rPr>
            </w:pPr>
          </w:p>
        </w:tc>
        <w:tc>
          <w:tcPr>
            <w:tcW w:w="1575" w:type="dxa"/>
            <w:tcBorders>
              <w:tl2br w:val="nil"/>
              <w:tr2bl w:val="nil"/>
            </w:tcBorders>
            <w:shd w:val="clear" w:color="auto" w:fill="FFFFFF"/>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0"/>
                <w:szCs w:val="20"/>
                <w:u w:val="none"/>
                <w:lang w:val="en-US" w:eastAsia="zh-CN" w:bidi="ar-SA"/>
              </w:rPr>
            </w:pPr>
          </w:p>
        </w:tc>
        <w:tc>
          <w:tcPr>
            <w:tcW w:w="1950" w:type="dxa"/>
            <w:tcBorders>
              <w:tl2br w:val="nil"/>
              <w:tr2bl w:val="nil"/>
            </w:tcBorders>
            <w:shd w:val="clear" w:color="auto" w:fill="FFFFFF"/>
            <w:vAlign w:val="center"/>
          </w:tcPr>
          <w:p>
            <w:pPr>
              <w:pStyle w:val="5"/>
              <w:spacing w:before="0" w:beforeAutospacing="0" w:after="0" w:afterAutospacing="0" w:line="580" w:lineRule="exact"/>
              <w:jc w:val="center"/>
              <w:rPr>
                <w:color w:val="auto"/>
              </w:rPr>
            </w:pPr>
          </w:p>
        </w:tc>
      </w:tr>
      <w:tr>
        <w:tblPrEx>
          <w:tblBorders>
            <w:top w:val="outset" w:color="000000" w:themeColor="text1" w:sz="6" w:space="0"/>
            <w:left w:val="outset" w:color="000000" w:themeColor="text1" w:sz="6" w:space="0"/>
            <w:bottom w:val="outset" w:color="000000" w:themeColor="text1" w:sz="6" w:space="0"/>
            <w:right w:val="outset" w:color="000000" w:themeColor="text1" w:sz="6" w:space="0"/>
            <w:insideH w:val="outset" w:color="000000" w:themeColor="text1" w:sz="6" w:space="0"/>
            <w:insideV w:val="outset" w:color="000000" w:themeColor="text1" w:sz="6" w:space="0"/>
          </w:tblBorders>
          <w:tblCellMar>
            <w:top w:w="0" w:type="dxa"/>
            <w:left w:w="0" w:type="dxa"/>
            <w:bottom w:w="0" w:type="dxa"/>
            <w:right w:w="0" w:type="dxa"/>
          </w:tblCellMar>
        </w:tblPrEx>
        <w:trPr>
          <w:trHeight w:val="475" w:hRule="atLeast"/>
          <w:jc w:val="center"/>
        </w:trPr>
        <w:tc>
          <w:tcPr>
            <w:tcW w:w="10335" w:type="dxa"/>
            <w:gridSpan w:val="8"/>
            <w:tcBorders>
              <w:tl2br w:val="nil"/>
              <w:tr2bl w:val="nil"/>
            </w:tcBorders>
            <w:shd w:val="clear" w:color="auto" w:fill="FFFFFF"/>
          </w:tcPr>
          <w:p>
            <w:pPr>
              <w:pStyle w:val="5"/>
              <w:spacing w:before="0" w:beforeAutospacing="0" w:after="0" w:afterAutospacing="0" w:line="480" w:lineRule="auto"/>
              <w:rPr>
                <w:rFonts w:hint="eastAsia"/>
                <w:color w:val="auto"/>
              </w:rPr>
            </w:pPr>
            <w:r>
              <w:rPr>
                <w:rFonts w:hint="eastAsia"/>
                <w:color w:val="auto"/>
              </w:rPr>
              <w:t>合计人民币（大写金额）：</w:t>
            </w:r>
            <w:r>
              <w:rPr>
                <w:rFonts w:hint="eastAsia"/>
                <w:color w:val="auto"/>
                <w:lang w:val="en-US" w:eastAsia="zh-CN"/>
              </w:rPr>
              <w:t xml:space="preserve"> </w:t>
            </w:r>
            <w:r>
              <w:rPr>
                <w:rFonts w:hint="eastAsia"/>
                <w:color w:val="auto"/>
              </w:rPr>
              <w:t xml:space="preserve">   </w:t>
            </w:r>
            <w:r>
              <w:rPr>
                <w:rFonts w:hint="eastAsia"/>
                <w:color w:val="auto"/>
                <w:lang w:val="en-US" w:eastAsia="zh-CN"/>
              </w:rPr>
              <w:t xml:space="preserve">                                           </w:t>
            </w:r>
            <w:r>
              <w:rPr>
                <w:rFonts w:hint="eastAsia"/>
                <w:color w:val="auto"/>
              </w:rPr>
              <w:t>￥</w:t>
            </w:r>
          </w:p>
        </w:tc>
      </w:tr>
    </w:tbl>
    <w:p>
      <w:pPr>
        <w:widowControl/>
        <w:adjustRightInd w:val="0"/>
        <w:snapToGrid w:val="0"/>
        <w:spacing w:line="540" w:lineRule="exact"/>
        <w:jc w:val="left"/>
        <w:rPr>
          <w:rFonts w:hint="eastAsia" w:ascii="宋体" w:hAnsi="宋体" w:cs="宋体"/>
          <w:b/>
          <w:bCs/>
          <w:color w:val="000000"/>
          <w:kern w:val="0"/>
          <w:sz w:val="24"/>
        </w:rPr>
      </w:pPr>
      <w:r>
        <w:rPr>
          <w:rFonts w:hint="eastAsia" w:ascii="宋体" w:hAnsi="宋体" w:cs="宋体"/>
          <w:b/>
          <w:bCs/>
          <w:color w:val="000000"/>
          <w:kern w:val="0"/>
          <w:sz w:val="24"/>
          <w:lang w:eastAsia="zh-CN"/>
        </w:rPr>
        <w:t>（</w:t>
      </w:r>
      <w:r>
        <w:rPr>
          <w:rFonts w:hint="eastAsia" w:ascii="宋体" w:hAnsi="宋体" w:cs="宋体"/>
          <w:b/>
          <w:bCs/>
          <w:color w:val="000000"/>
          <w:kern w:val="0"/>
          <w:sz w:val="24"/>
          <w:lang w:val="en-US" w:eastAsia="zh-CN"/>
        </w:rPr>
        <w:t>备注：按相对密度0.915计算</w:t>
      </w:r>
      <w:r>
        <w:rPr>
          <w:rFonts w:hint="eastAsia" w:ascii="宋体" w:hAnsi="宋体"/>
          <w:b/>
          <w:bCs/>
          <w:sz w:val="24"/>
        </w:rPr>
        <w:t>，</w:t>
      </w:r>
      <w:r>
        <w:rPr>
          <w:rFonts w:hint="eastAsia" w:ascii="宋体" w:hAnsi="宋体"/>
          <w:b/>
          <w:bCs/>
          <w:sz w:val="24"/>
          <w:lang w:val="en-US" w:eastAsia="zh-CN"/>
        </w:rPr>
        <w:t>每个标段</w:t>
      </w:r>
      <w:r>
        <w:rPr>
          <w:rFonts w:hint="eastAsia" w:ascii="宋体" w:hAnsi="宋体" w:cs="宋体"/>
          <w:b/>
          <w:bCs/>
          <w:color w:val="auto"/>
          <w:sz w:val="24"/>
        </w:rPr>
        <w:t>需另加1箱送第三方质检机构检测备用（不计价）</w:t>
      </w:r>
      <w:r>
        <w:rPr>
          <w:rFonts w:hint="eastAsia" w:ascii="宋体" w:hAnsi="宋体" w:cs="宋体"/>
          <w:b/>
          <w:bCs/>
          <w:kern w:val="0"/>
          <w:sz w:val="24"/>
          <w:lang w:val="en-US" w:eastAsia="zh-CN"/>
        </w:rPr>
        <w:t>)</w:t>
      </w:r>
      <w:r>
        <w:rPr>
          <w:rFonts w:hint="eastAsia" w:ascii="宋体" w:hAnsi="宋体" w:cs="宋体"/>
          <w:b/>
          <w:bCs/>
          <w:color w:val="000000"/>
          <w:kern w:val="0"/>
          <w:sz w:val="24"/>
        </w:rPr>
        <w:t xml:space="preserve">    </w:t>
      </w:r>
    </w:p>
    <w:p>
      <w:pPr>
        <w:keepNext w:val="0"/>
        <w:keepLines w:val="0"/>
        <w:pageBreakBefore w:val="0"/>
        <w:widowControl/>
        <w:kinsoku/>
        <w:wordWrap/>
        <w:overflowPunct/>
        <w:topLinePunct w:val="0"/>
        <w:autoSpaceDE/>
        <w:autoSpaceDN/>
        <w:bidi w:val="0"/>
        <w:adjustRightInd w:val="0"/>
        <w:snapToGrid w:val="0"/>
        <w:spacing w:line="560" w:lineRule="exact"/>
        <w:ind w:firstLine="480" w:firstLineChars="200"/>
        <w:jc w:val="left"/>
        <w:textAlignment w:val="auto"/>
        <w:rPr>
          <w:rFonts w:hint="eastAsia" w:ascii="宋体" w:hAnsi="宋体" w:eastAsia="宋体" w:cs="宋体"/>
          <w:color w:val="FF0000"/>
          <w:kern w:val="0"/>
          <w:sz w:val="24"/>
          <w:lang w:eastAsia="zh-CN"/>
        </w:rPr>
      </w:pPr>
      <w:r>
        <w:rPr>
          <w:rFonts w:hint="eastAsia" w:ascii="宋体" w:hAnsi="宋体" w:cs="宋体"/>
          <w:color w:val="000000"/>
          <w:kern w:val="0"/>
          <w:sz w:val="24"/>
        </w:rPr>
        <w:t>二、质量标准：质量指标符合GB/T1536-2021《菜籽油》一级标准，储存品质为宜存；卫生指标符合GB2716-2018食品安全国家标准限量规定，入库的小包装食用油须为202</w:t>
      </w:r>
      <w:r>
        <w:rPr>
          <w:rFonts w:hint="eastAsia" w:ascii="宋体" w:hAnsi="宋体" w:cs="宋体"/>
          <w:color w:val="000000"/>
          <w:kern w:val="0"/>
          <w:sz w:val="24"/>
          <w:lang w:val="en-US" w:eastAsia="zh-CN"/>
        </w:rPr>
        <w:t>5</w:t>
      </w:r>
      <w:r>
        <w:rPr>
          <w:rFonts w:hint="eastAsia" w:ascii="宋体" w:hAnsi="宋体" w:cs="宋体"/>
          <w:color w:val="000000"/>
          <w:kern w:val="0"/>
          <w:sz w:val="24"/>
        </w:rPr>
        <w:t>年</w:t>
      </w:r>
      <w:r>
        <w:rPr>
          <w:rFonts w:hint="eastAsia" w:ascii="宋体" w:hAnsi="宋体" w:cs="宋体"/>
          <w:color w:val="000000"/>
          <w:kern w:val="0"/>
          <w:sz w:val="24"/>
          <w:lang w:val="en-US" w:eastAsia="zh-CN"/>
        </w:rPr>
        <w:t>11</w:t>
      </w:r>
      <w:r>
        <w:rPr>
          <w:rFonts w:hint="eastAsia" w:ascii="宋体" w:hAnsi="宋体" w:cs="宋体"/>
          <w:color w:val="000000"/>
          <w:kern w:val="0"/>
          <w:sz w:val="24"/>
        </w:rPr>
        <w:t>月以后加工生产的产品，保质期18个月</w:t>
      </w:r>
      <w:r>
        <w:rPr>
          <w:rFonts w:hint="eastAsia" w:ascii="宋体" w:hAnsi="宋体" w:cs="宋体"/>
          <w:color w:val="auto"/>
          <w:kern w:val="0"/>
          <w:sz w:val="24"/>
          <w:lang w:eastAsia="zh-CN"/>
        </w:rPr>
        <w:t>。</w:t>
      </w:r>
    </w:p>
    <w:p>
      <w:pPr>
        <w:keepNext w:val="0"/>
        <w:keepLines w:val="0"/>
        <w:pageBreakBefore w:val="0"/>
        <w:widowControl/>
        <w:kinsoku/>
        <w:wordWrap/>
        <w:overflowPunct/>
        <w:topLinePunct w:val="0"/>
        <w:autoSpaceDE/>
        <w:autoSpaceDN/>
        <w:bidi w:val="0"/>
        <w:adjustRightInd w:val="0"/>
        <w:snapToGrid w:val="0"/>
        <w:spacing w:line="560" w:lineRule="exact"/>
        <w:ind w:firstLine="360" w:firstLineChars="150"/>
        <w:jc w:val="left"/>
        <w:textAlignment w:val="auto"/>
        <w:rPr>
          <w:rFonts w:hint="eastAsia" w:ascii="宋体" w:hAnsi="宋体" w:eastAsia="宋体"/>
          <w:color w:val="FF0000"/>
          <w:sz w:val="24"/>
          <w:lang w:eastAsia="zh-CN"/>
        </w:rPr>
      </w:pPr>
      <w:r>
        <w:rPr>
          <w:rFonts w:hint="eastAsia" w:ascii="宋体" w:hAnsi="宋体" w:cs="宋体"/>
          <w:color w:val="000000"/>
          <w:kern w:val="0"/>
          <w:sz w:val="24"/>
        </w:rPr>
        <w:t xml:space="preserve"> 三、</w:t>
      </w:r>
      <w:r>
        <w:rPr>
          <w:rFonts w:hint="eastAsia" w:ascii="宋体" w:hAnsi="宋体" w:cs="宋体"/>
          <w:color w:val="auto"/>
          <w:kern w:val="0"/>
          <w:sz w:val="24"/>
        </w:rPr>
        <w:t>交货时间</w:t>
      </w:r>
      <w:r>
        <w:rPr>
          <w:rFonts w:hint="eastAsia" w:ascii="宋体" w:hAnsi="宋体"/>
          <w:color w:val="auto"/>
          <w:sz w:val="24"/>
        </w:rPr>
        <w:t>：</w:t>
      </w:r>
      <w:r>
        <w:rPr>
          <w:rFonts w:hint="eastAsia" w:ascii="宋体" w:hAnsi="宋体"/>
          <w:b/>
          <w:bCs/>
          <w:color w:val="FF0000"/>
          <w:sz w:val="24"/>
        </w:rPr>
        <w:t>202</w:t>
      </w:r>
      <w:r>
        <w:rPr>
          <w:rFonts w:hint="eastAsia" w:ascii="宋体" w:hAnsi="宋体"/>
          <w:b/>
          <w:bCs/>
          <w:color w:val="FF0000"/>
          <w:sz w:val="24"/>
          <w:lang w:val="en-US" w:eastAsia="zh-CN"/>
        </w:rPr>
        <w:t>5</w:t>
      </w:r>
      <w:r>
        <w:rPr>
          <w:rFonts w:hint="eastAsia" w:ascii="宋体" w:hAnsi="宋体"/>
          <w:b/>
          <w:bCs/>
          <w:color w:val="FF0000"/>
          <w:sz w:val="24"/>
        </w:rPr>
        <w:t>年</w:t>
      </w:r>
      <w:r>
        <w:rPr>
          <w:rFonts w:hint="eastAsia" w:ascii="宋体" w:hAnsi="宋体"/>
          <w:b/>
          <w:bCs/>
          <w:color w:val="FF0000"/>
          <w:sz w:val="24"/>
          <w:lang w:val="en-US" w:eastAsia="zh-CN"/>
        </w:rPr>
        <w:t>12</w:t>
      </w:r>
      <w:r>
        <w:rPr>
          <w:rFonts w:hint="eastAsia" w:ascii="宋体" w:hAnsi="宋体"/>
          <w:b/>
          <w:bCs/>
          <w:color w:val="FF0000"/>
          <w:sz w:val="24"/>
        </w:rPr>
        <w:t>月</w:t>
      </w:r>
      <w:r>
        <w:rPr>
          <w:rFonts w:hint="eastAsia" w:ascii="宋体" w:hAnsi="宋体"/>
          <w:b/>
          <w:bCs/>
          <w:color w:val="FF0000"/>
          <w:sz w:val="24"/>
          <w:lang w:val="en-US" w:eastAsia="zh-CN"/>
        </w:rPr>
        <w:t>5</w:t>
      </w:r>
      <w:r>
        <w:rPr>
          <w:rFonts w:hint="eastAsia" w:ascii="宋体" w:hAnsi="宋体"/>
          <w:b/>
          <w:bCs/>
          <w:color w:val="FF0000"/>
          <w:sz w:val="24"/>
        </w:rPr>
        <w:t>日前交货完成</w:t>
      </w:r>
      <w:r>
        <w:rPr>
          <w:rFonts w:hint="eastAsia" w:ascii="宋体" w:hAnsi="宋体"/>
          <w:color w:val="FF0000"/>
          <w:sz w:val="24"/>
        </w:rPr>
        <w:t>。</w:t>
      </w:r>
      <w:r>
        <w:rPr>
          <w:rFonts w:hint="eastAsia" w:ascii="宋体" w:hAnsi="宋体"/>
          <w:sz w:val="24"/>
        </w:rPr>
        <w:t>若逾期未交货视作违约，委托方有权终止合同，竞得方整个标的物保证金抵做违约金，并纳入失信黑名单</w:t>
      </w:r>
      <w:r>
        <w:rPr>
          <w:rFonts w:hint="eastAsia" w:ascii="宋体" w:hAnsi="宋体"/>
          <w:color w:val="auto"/>
          <w:sz w:val="24"/>
        </w:rPr>
        <w:t>。</w:t>
      </w:r>
    </w:p>
    <w:p>
      <w:pPr>
        <w:keepNext w:val="0"/>
        <w:keepLines w:val="0"/>
        <w:pageBreakBefore w:val="0"/>
        <w:widowControl/>
        <w:kinsoku/>
        <w:wordWrap/>
        <w:overflowPunct/>
        <w:topLinePunct w:val="0"/>
        <w:autoSpaceDE/>
        <w:autoSpaceDN/>
        <w:bidi w:val="0"/>
        <w:adjustRightInd w:val="0"/>
        <w:snapToGrid w:val="0"/>
        <w:spacing w:line="560" w:lineRule="exact"/>
        <w:ind w:firstLine="480" w:firstLineChars="200"/>
        <w:jc w:val="left"/>
        <w:textAlignment w:val="auto"/>
        <w:rPr>
          <w:rFonts w:hint="eastAsia" w:eastAsia="宋体" w:asciiTheme="minorEastAsia" w:hAnsiTheme="minorEastAsia" w:cstheme="minorEastAsia"/>
          <w:kern w:val="0"/>
          <w:sz w:val="24"/>
          <w:lang w:eastAsia="zh-CN"/>
        </w:rPr>
      </w:pPr>
      <w:r>
        <w:rPr>
          <w:rFonts w:hint="eastAsia" w:ascii="宋体" w:hAnsi="宋体" w:cs="宋体"/>
          <w:color w:val="000000"/>
          <w:kern w:val="0"/>
          <w:sz w:val="24"/>
        </w:rPr>
        <w:t>四、交货地点：环山粮站（</w:t>
      </w:r>
      <w:r>
        <w:rPr>
          <w:rFonts w:hint="eastAsia" w:ascii="宋体" w:hAnsi="宋体" w:cs="宋体"/>
          <w:b/>
          <w:bCs/>
          <w:color w:val="000000"/>
          <w:kern w:val="0"/>
          <w:sz w:val="24"/>
        </w:rPr>
        <w:t>地址：富阳区环山乡环三村环山东路43号对面</w:t>
      </w:r>
      <w:r>
        <w:rPr>
          <w:rFonts w:hint="eastAsia" w:ascii="宋体" w:hAnsi="宋体" w:cs="宋体"/>
          <w:color w:val="000000"/>
          <w:kern w:val="0"/>
          <w:sz w:val="24"/>
        </w:rPr>
        <w:t>）</w:t>
      </w:r>
      <w:r>
        <w:rPr>
          <w:rFonts w:hint="eastAsia" w:ascii="宋体" w:hAnsi="宋体" w:cs="宋体"/>
          <w:color w:val="000000"/>
          <w:kern w:val="0"/>
          <w:sz w:val="24"/>
          <w:lang w:eastAsia="zh-CN"/>
        </w:rPr>
        <w:t>；</w:t>
      </w:r>
      <w:r>
        <w:rPr>
          <w:rFonts w:hint="eastAsia" w:ascii="宋体" w:hAnsi="宋体"/>
          <w:sz w:val="24"/>
        </w:rPr>
        <w:t>大青战备库（</w:t>
      </w:r>
      <w:r>
        <w:rPr>
          <w:rFonts w:hint="eastAsia" w:ascii="宋体" w:hAnsi="宋体"/>
          <w:b/>
          <w:bCs/>
          <w:sz w:val="24"/>
        </w:rPr>
        <w:t>地址：杭州市富阳区富春街道大青沙田畈村</w:t>
      </w:r>
      <w:r>
        <w:rPr>
          <w:rFonts w:hint="eastAsia" w:ascii="宋体" w:hAnsi="宋体"/>
          <w:sz w:val="24"/>
        </w:rPr>
        <w:t>）</w:t>
      </w:r>
      <w:r>
        <w:rPr>
          <w:rFonts w:hint="eastAsia" w:ascii="宋体" w:hAnsi="宋体" w:cs="宋体"/>
          <w:color w:val="000000"/>
          <w:kern w:val="0"/>
          <w:sz w:val="24"/>
        </w:rPr>
        <w:t>。</w:t>
      </w:r>
    </w:p>
    <w:p>
      <w:pPr>
        <w:keepNext w:val="0"/>
        <w:keepLines w:val="0"/>
        <w:pageBreakBefore w:val="0"/>
        <w:kinsoku/>
        <w:wordWrap/>
        <w:overflowPunct/>
        <w:topLinePunct w:val="0"/>
        <w:autoSpaceDE/>
        <w:autoSpaceDN/>
        <w:bidi w:val="0"/>
        <w:spacing w:line="560" w:lineRule="exact"/>
        <w:ind w:firstLine="480" w:firstLineChars="200"/>
        <w:textAlignment w:val="auto"/>
        <w:rPr>
          <w:rFonts w:hint="eastAsia" w:ascii="宋体" w:hAnsi="宋体" w:cs="宋体"/>
          <w:color w:val="000000"/>
          <w:kern w:val="0"/>
          <w:sz w:val="24"/>
          <w:lang w:val="en-US" w:eastAsia="zh-CN"/>
        </w:rPr>
      </w:pPr>
      <w:r>
        <w:rPr>
          <w:rFonts w:hint="eastAsia" w:ascii="宋体" w:hAnsi="宋体" w:cs="宋体"/>
          <w:color w:val="000000"/>
          <w:kern w:val="0"/>
          <w:sz w:val="24"/>
        </w:rPr>
        <w:t>五、包装要求：包装物及标签符合国家标准及有关规定，同一标段须同一</w:t>
      </w:r>
      <w:bookmarkStart w:id="0" w:name="_GoBack"/>
      <w:bookmarkEnd w:id="0"/>
      <w:r>
        <w:rPr>
          <w:rFonts w:hint="eastAsia" w:ascii="宋体" w:hAnsi="宋体" w:cs="宋体"/>
          <w:color w:val="000000"/>
          <w:kern w:val="0"/>
          <w:sz w:val="24"/>
        </w:rPr>
        <w:t>品牌、同一日期生产或同一批次生产（提供证明），包装须相同，要求小包装，塑料桶+纸箱包装（5升/桶*4桶），符合GB/T17374-20</w:t>
      </w:r>
      <w:r>
        <w:rPr>
          <w:rFonts w:hint="eastAsia" w:ascii="宋体" w:hAnsi="宋体" w:cs="宋体"/>
          <w:color w:val="000000"/>
          <w:kern w:val="0"/>
          <w:sz w:val="24"/>
          <w:lang w:val="en-US" w:eastAsia="zh-CN"/>
        </w:rPr>
        <w:t>24</w:t>
      </w:r>
      <w:r>
        <w:rPr>
          <w:rFonts w:hint="eastAsia" w:ascii="宋体" w:hAnsi="宋体" w:cs="宋体"/>
          <w:color w:val="000000"/>
          <w:kern w:val="0"/>
          <w:sz w:val="24"/>
        </w:rPr>
        <w:t>食用植物油销售包装要求。仓房内堆装按5</w:t>
      </w:r>
      <w:r>
        <w:rPr>
          <w:rFonts w:hint="eastAsia" w:ascii="宋体" w:hAnsi="宋体" w:cs="宋体"/>
          <w:color w:val="000000"/>
          <w:kern w:val="0"/>
          <w:sz w:val="24"/>
          <w:lang w:val="en-US" w:eastAsia="zh-CN"/>
        </w:rPr>
        <w:t>-6</w:t>
      </w:r>
      <w:r>
        <w:rPr>
          <w:rFonts w:hint="eastAsia" w:ascii="宋体" w:hAnsi="宋体" w:cs="宋体"/>
          <w:color w:val="000000"/>
          <w:kern w:val="0"/>
          <w:sz w:val="24"/>
        </w:rPr>
        <w:t>箱的高度垂直堆放、储存该批食用菜籽油，预计储存时间为一年，要求竞得方交割的食用菜籽油的内、外包装须有足够的承载能力和平整度，若因承载能力或平整度不足发生倒桩等储存安全事故，一切责任由竞得方承担。</w:t>
      </w:r>
      <w:r>
        <w:rPr>
          <w:rFonts w:hint="eastAsia" w:ascii="宋体" w:hAnsi="宋体" w:cs="宋体"/>
          <w:color w:val="000000"/>
          <w:kern w:val="0"/>
          <w:sz w:val="24"/>
          <w:lang w:val="en-US" w:eastAsia="zh-CN"/>
        </w:rPr>
        <w:t xml:space="preserve">    </w:t>
      </w:r>
    </w:p>
    <w:p>
      <w:pPr>
        <w:keepNext w:val="0"/>
        <w:keepLines w:val="0"/>
        <w:pageBreakBefore w:val="0"/>
        <w:kinsoku/>
        <w:wordWrap/>
        <w:overflowPunct/>
        <w:topLinePunct w:val="0"/>
        <w:autoSpaceDE/>
        <w:autoSpaceDN/>
        <w:bidi w:val="0"/>
        <w:spacing w:line="560" w:lineRule="exact"/>
        <w:ind w:firstLine="480" w:firstLineChars="200"/>
        <w:textAlignment w:val="auto"/>
        <w:rPr>
          <w:rFonts w:ascii="宋体" w:hAnsi="宋体" w:cs="宋体"/>
          <w:b/>
          <w:color w:val="000000"/>
          <w:sz w:val="24"/>
        </w:rPr>
      </w:pPr>
      <w:r>
        <w:rPr>
          <w:rFonts w:hint="eastAsia" w:ascii="宋体" w:hAnsi="宋体" w:cs="宋体"/>
          <w:color w:val="000000"/>
          <w:kern w:val="0"/>
          <w:sz w:val="24"/>
        </w:rPr>
        <w:t>六、交货方式：实行送货入仓制，由竞得方负责将食用油运至委托方指定仓库，并按照委托方要求进行入仓和堆装，入库环节产生的一切费用由竞得方负责。</w:t>
      </w:r>
    </w:p>
    <w:p>
      <w:pPr>
        <w:keepNext w:val="0"/>
        <w:keepLines w:val="0"/>
        <w:pageBreakBefore w:val="0"/>
        <w:widowControl/>
        <w:kinsoku/>
        <w:wordWrap/>
        <w:overflowPunct/>
        <w:topLinePunct w:val="0"/>
        <w:autoSpaceDE/>
        <w:autoSpaceDN/>
        <w:bidi w:val="0"/>
        <w:adjustRightInd w:val="0"/>
        <w:snapToGrid w:val="0"/>
        <w:spacing w:line="560" w:lineRule="exact"/>
        <w:ind w:firstLine="480" w:firstLineChars="200"/>
        <w:jc w:val="left"/>
        <w:textAlignment w:val="auto"/>
        <w:rPr>
          <w:rFonts w:ascii="宋体" w:hAnsi="宋体" w:cs="宋体"/>
          <w:color w:val="000000"/>
          <w:kern w:val="0"/>
          <w:sz w:val="24"/>
        </w:rPr>
      </w:pPr>
      <w:r>
        <w:rPr>
          <w:rFonts w:hint="eastAsia" w:ascii="宋体" w:hAnsi="宋体" w:cs="宋体"/>
          <w:color w:val="000000"/>
          <w:kern w:val="0"/>
          <w:sz w:val="24"/>
          <w:lang w:val="en-US" w:eastAsia="zh-CN"/>
        </w:rPr>
        <w:t>七</w:t>
      </w:r>
      <w:r>
        <w:rPr>
          <w:rFonts w:hint="eastAsia" w:ascii="宋体" w:hAnsi="宋体" w:cs="宋体"/>
          <w:color w:val="000000"/>
          <w:kern w:val="0"/>
          <w:sz w:val="24"/>
        </w:rPr>
        <w:t>、货物验收办法：</w:t>
      </w:r>
    </w:p>
    <w:p>
      <w:pPr>
        <w:keepNext w:val="0"/>
        <w:keepLines w:val="0"/>
        <w:pageBreakBefore w:val="0"/>
        <w:widowControl/>
        <w:kinsoku/>
        <w:wordWrap/>
        <w:overflowPunct/>
        <w:topLinePunct w:val="0"/>
        <w:autoSpaceDE/>
        <w:autoSpaceDN/>
        <w:bidi w:val="0"/>
        <w:spacing w:line="560" w:lineRule="exact"/>
        <w:ind w:firstLine="480" w:firstLineChars="200"/>
        <w:jc w:val="left"/>
        <w:textAlignment w:val="auto"/>
        <w:rPr>
          <w:rFonts w:hint="eastAsia" w:ascii="宋体" w:hAnsi="宋体" w:cs="宋体"/>
          <w:color w:val="000000"/>
          <w:kern w:val="0"/>
          <w:sz w:val="24"/>
        </w:rPr>
      </w:pPr>
      <w:r>
        <w:rPr>
          <w:rFonts w:hint="eastAsia" w:ascii="宋体" w:hAnsi="宋体" w:cs="宋体"/>
          <w:color w:val="000000"/>
          <w:kern w:val="0"/>
          <w:sz w:val="24"/>
        </w:rPr>
        <w:t>（1）数量验收：入库数量由入库地仓内点件入库为准，双方应认真清点小包装食用油数量及抽样开箱检验，检查包装是否完好。</w:t>
      </w:r>
    </w:p>
    <w:p>
      <w:pPr>
        <w:keepNext w:val="0"/>
        <w:keepLines w:val="0"/>
        <w:pageBreakBefore w:val="0"/>
        <w:widowControl/>
        <w:kinsoku/>
        <w:wordWrap/>
        <w:overflowPunct/>
        <w:topLinePunct w:val="0"/>
        <w:autoSpaceDE/>
        <w:autoSpaceDN/>
        <w:bidi w:val="0"/>
        <w:spacing w:line="560" w:lineRule="exact"/>
        <w:ind w:firstLine="480" w:firstLineChars="200"/>
        <w:jc w:val="left"/>
        <w:textAlignment w:val="auto"/>
        <w:rPr>
          <w:rFonts w:hint="eastAsia" w:ascii="宋体" w:hAnsi="宋体" w:cs="宋体"/>
          <w:color w:val="000000"/>
          <w:kern w:val="0"/>
          <w:sz w:val="24"/>
        </w:rPr>
      </w:pPr>
      <w:r>
        <w:rPr>
          <w:rFonts w:hint="eastAsia" w:ascii="宋体" w:hAnsi="宋体" w:cs="宋体"/>
          <w:color w:val="000000"/>
          <w:kern w:val="0"/>
          <w:sz w:val="24"/>
        </w:rPr>
        <w:t>（2）质量验收：小包装食用油入库前，竞得方需提供有检验资质的质检部门出具的本批次小包装食用油的检验报告、产品合格证</w:t>
      </w:r>
      <w:r>
        <w:rPr>
          <w:rFonts w:hint="eastAsia" w:ascii="宋体" w:hAnsi="宋体" w:cs="宋体"/>
          <w:color w:val="000000"/>
          <w:kern w:val="0"/>
          <w:sz w:val="24"/>
          <w:lang w:val="en-US" w:eastAsia="zh-CN"/>
        </w:rPr>
        <w:t>以及该批原油运输不存在用装工业用油车辆的承诺书给委托方</w:t>
      </w:r>
      <w:r>
        <w:rPr>
          <w:rFonts w:hint="eastAsia" w:ascii="宋体" w:hAnsi="宋体" w:cs="宋体"/>
          <w:color w:val="000000"/>
          <w:kern w:val="0"/>
          <w:sz w:val="24"/>
        </w:rPr>
        <w:t>；入库结束后，委托有资质的第三方检验机构抽样检测，质量达不到标准由竞得方在5天内更换，由此产生的一切损失由竞得方承担，经有资质的第三方检测机构检测再次不合格的，没收竞得方全部履约保证金，且委托方有权对该批次食用油进行公开竞价交易，并没收交易所得货款的40%，同时限制竞得方三年内不得参与委托方的一切粮</w:t>
      </w:r>
      <w:r>
        <w:rPr>
          <w:rFonts w:hint="eastAsia" w:ascii="宋体" w:hAnsi="宋体" w:cs="宋体"/>
          <w:color w:val="000000"/>
          <w:kern w:val="0"/>
          <w:sz w:val="24"/>
          <w:lang w:val="en-US" w:eastAsia="zh-CN"/>
        </w:rPr>
        <w:t>油</w:t>
      </w:r>
      <w:r>
        <w:rPr>
          <w:rFonts w:hint="eastAsia" w:ascii="宋体" w:hAnsi="宋体" w:cs="宋体"/>
          <w:color w:val="000000"/>
          <w:kern w:val="0"/>
          <w:sz w:val="24"/>
        </w:rPr>
        <w:t>购销竞价场次。</w:t>
      </w:r>
    </w:p>
    <w:p>
      <w:pPr>
        <w:keepNext w:val="0"/>
        <w:keepLines w:val="0"/>
        <w:pageBreakBefore w:val="0"/>
        <w:widowControl/>
        <w:kinsoku/>
        <w:wordWrap/>
        <w:overflowPunct/>
        <w:topLinePunct w:val="0"/>
        <w:autoSpaceDE/>
        <w:autoSpaceDN/>
        <w:bidi w:val="0"/>
        <w:spacing w:line="560" w:lineRule="exact"/>
        <w:ind w:firstLine="480" w:firstLineChars="200"/>
        <w:jc w:val="left"/>
        <w:textAlignment w:val="auto"/>
        <w:rPr>
          <w:rFonts w:hint="eastAsia" w:ascii="宋体" w:hAnsi="宋体" w:cs="宋体"/>
          <w:color w:val="000000"/>
          <w:kern w:val="0"/>
          <w:sz w:val="24"/>
        </w:rPr>
      </w:pPr>
      <w:r>
        <w:rPr>
          <w:rFonts w:hint="eastAsia" w:ascii="宋体" w:hAnsi="宋体" w:cs="宋体"/>
          <w:color w:val="000000"/>
          <w:kern w:val="0"/>
          <w:sz w:val="24"/>
          <w:lang w:val="en-US" w:eastAsia="zh-CN"/>
        </w:rPr>
        <w:t>八、</w:t>
      </w:r>
      <w:r>
        <w:rPr>
          <w:rFonts w:hint="eastAsia" w:ascii="宋体" w:hAnsi="宋体" w:cs="宋体"/>
          <w:color w:val="000000"/>
          <w:kern w:val="0"/>
          <w:sz w:val="24"/>
        </w:rPr>
        <w:t>委托方必须提供的相关服务与承诺：</w:t>
      </w:r>
    </w:p>
    <w:p>
      <w:pPr>
        <w:keepNext w:val="0"/>
        <w:keepLines w:val="0"/>
        <w:pageBreakBefore w:val="0"/>
        <w:widowControl/>
        <w:kinsoku/>
        <w:wordWrap/>
        <w:overflowPunct/>
        <w:topLinePunct w:val="0"/>
        <w:autoSpaceDE/>
        <w:autoSpaceDN/>
        <w:bidi w:val="0"/>
        <w:spacing w:line="560" w:lineRule="exact"/>
        <w:ind w:firstLine="480" w:firstLineChars="200"/>
        <w:jc w:val="left"/>
        <w:textAlignment w:val="auto"/>
        <w:rPr>
          <w:rFonts w:hint="eastAsia" w:ascii="宋体" w:hAnsi="宋体" w:cs="宋体"/>
          <w:kern w:val="0"/>
          <w:sz w:val="24"/>
        </w:rPr>
      </w:pPr>
      <w:r>
        <w:rPr>
          <w:rFonts w:hint="eastAsia" w:ascii="宋体" w:hAnsi="宋体" w:cs="宋体"/>
          <w:kern w:val="0"/>
          <w:sz w:val="24"/>
        </w:rPr>
        <w:t>竞得方送货时应在委托方正常工作时间范围内，委托方在正常工作时间内应及时向竞得方提供装卸期间的配套服务，因委托方原因所产生的延时损失费（超24小时外），按200元/天/车计费，由委托方承担。</w:t>
      </w:r>
    </w:p>
    <w:p>
      <w:pPr>
        <w:keepNext w:val="0"/>
        <w:keepLines w:val="0"/>
        <w:pageBreakBefore w:val="0"/>
        <w:widowControl/>
        <w:kinsoku/>
        <w:wordWrap/>
        <w:overflowPunct/>
        <w:topLinePunct w:val="0"/>
        <w:autoSpaceDE/>
        <w:autoSpaceDN/>
        <w:bidi w:val="0"/>
        <w:spacing w:line="560" w:lineRule="exact"/>
        <w:ind w:firstLine="480" w:firstLineChars="200"/>
        <w:jc w:val="left"/>
        <w:textAlignment w:val="auto"/>
        <w:rPr>
          <w:rFonts w:hint="eastAsia" w:ascii="宋体" w:hAnsi="宋体" w:cs="宋体"/>
          <w:color w:val="000000"/>
          <w:kern w:val="0"/>
          <w:sz w:val="24"/>
        </w:rPr>
      </w:pPr>
      <w:r>
        <w:rPr>
          <w:rFonts w:hint="eastAsia" w:ascii="宋体" w:hAnsi="宋体" w:cs="宋体"/>
          <w:color w:val="000000"/>
          <w:kern w:val="0"/>
          <w:sz w:val="24"/>
          <w:lang w:val="en-US" w:eastAsia="zh-CN"/>
        </w:rPr>
        <w:t>九、</w:t>
      </w:r>
      <w:r>
        <w:rPr>
          <w:rFonts w:hint="eastAsia" w:ascii="宋体" w:hAnsi="宋体" w:cs="宋体"/>
          <w:color w:val="000000"/>
          <w:kern w:val="0"/>
          <w:sz w:val="24"/>
        </w:rPr>
        <w:t>货款结算期限：</w:t>
      </w:r>
    </w:p>
    <w:p>
      <w:pPr>
        <w:keepNext w:val="0"/>
        <w:keepLines w:val="0"/>
        <w:pageBreakBefore w:val="0"/>
        <w:widowControl/>
        <w:kinsoku/>
        <w:wordWrap/>
        <w:overflowPunct/>
        <w:topLinePunct w:val="0"/>
        <w:autoSpaceDE/>
        <w:autoSpaceDN/>
        <w:bidi w:val="0"/>
        <w:spacing w:line="560" w:lineRule="exact"/>
        <w:ind w:firstLine="480" w:firstLineChars="200"/>
        <w:jc w:val="left"/>
        <w:textAlignment w:val="auto"/>
        <w:rPr>
          <w:rFonts w:hint="eastAsia" w:ascii="宋体" w:hAnsi="宋体" w:cs="宋体"/>
          <w:color w:val="000000"/>
          <w:kern w:val="0"/>
          <w:sz w:val="24"/>
        </w:rPr>
      </w:pPr>
      <w:r>
        <w:rPr>
          <w:rFonts w:hint="eastAsia" w:ascii="宋体" w:hAnsi="宋体" w:cs="宋体"/>
          <w:color w:val="000000"/>
          <w:kern w:val="0"/>
          <w:sz w:val="24"/>
        </w:rPr>
        <w:t>入库结束后经有资质的第三方检测机构抽样检测,质量合格后付款。</w:t>
      </w:r>
    </w:p>
    <w:p>
      <w:pPr>
        <w:keepNext w:val="0"/>
        <w:keepLines w:val="0"/>
        <w:pageBreakBefore w:val="0"/>
        <w:widowControl/>
        <w:kinsoku/>
        <w:wordWrap/>
        <w:overflowPunct/>
        <w:topLinePunct w:val="0"/>
        <w:autoSpaceDE/>
        <w:autoSpaceDN/>
        <w:bidi w:val="0"/>
        <w:spacing w:line="560" w:lineRule="exact"/>
        <w:ind w:firstLine="480" w:firstLineChars="200"/>
        <w:jc w:val="left"/>
        <w:textAlignment w:val="auto"/>
        <w:rPr>
          <w:rFonts w:hint="eastAsia" w:ascii="宋体" w:hAnsi="宋体" w:cs="宋体"/>
          <w:color w:val="000000"/>
          <w:kern w:val="0"/>
          <w:sz w:val="24"/>
        </w:rPr>
      </w:pPr>
      <w:r>
        <w:rPr>
          <w:rFonts w:hint="eastAsia" w:ascii="宋体" w:hAnsi="宋体" w:cs="宋体"/>
          <w:color w:val="000000"/>
          <w:kern w:val="0"/>
          <w:sz w:val="24"/>
          <w:lang w:val="en-US" w:eastAsia="zh-CN"/>
        </w:rPr>
        <w:t>十</w:t>
      </w:r>
      <w:r>
        <w:rPr>
          <w:rFonts w:hint="eastAsia" w:ascii="宋体" w:hAnsi="宋体" w:cs="宋体"/>
          <w:color w:val="000000"/>
          <w:kern w:val="0"/>
          <w:sz w:val="24"/>
        </w:rPr>
        <w:t>、货款结算方式：</w:t>
      </w:r>
    </w:p>
    <w:p>
      <w:pPr>
        <w:keepNext w:val="0"/>
        <w:keepLines w:val="0"/>
        <w:pageBreakBefore w:val="0"/>
        <w:widowControl/>
        <w:kinsoku/>
        <w:wordWrap/>
        <w:overflowPunct/>
        <w:topLinePunct w:val="0"/>
        <w:autoSpaceDE/>
        <w:autoSpaceDN/>
        <w:bidi w:val="0"/>
        <w:spacing w:line="560" w:lineRule="exact"/>
        <w:ind w:firstLine="480" w:firstLineChars="200"/>
        <w:jc w:val="left"/>
        <w:textAlignment w:val="auto"/>
        <w:rPr>
          <w:rFonts w:hint="eastAsia" w:ascii="宋体" w:hAnsi="宋体" w:cs="宋体"/>
          <w:color w:val="000000"/>
          <w:kern w:val="0"/>
          <w:sz w:val="24"/>
        </w:rPr>
      </w:pPr>
      <w:r>
        <w:rPr>
          <w:rFonts w:hint="eastAsia" w:ascii="宋体" w:hAnsi="宋体" w:cs="宋体"/>
          <w:color w:val="000000"/>
          <w:kern w:val="0"/>
          <w:sz w:val="24"/>
        </w:rPr>
        <w:t>买卖双方自行结算，粮食入库后，竞得方凭相关验收凭证到杭州市富阳区粮食收储有限公司结算，并提供正式发票。</w:t>
      </w:r>
    </w:p>
    <w:p>
      <w:pPr>
        <w:keepNext w:val="0"/>
        <w:keepLines w:val="0"/>
        <w:pageBreakBefore w:val="0"/>
        <w:widowControl/>
        <w:kinsoku/>
        <w:wordWrap/>
        <w:overflowPunct/>
        <w:topLinePunct w:val="0"/>
        <w:autoSpaceDE/>
        <w:autoSpaceDN/>
        <w:bidi w:val="0"/>
        <w:spacing w:line="560" w:lineRule="exact"/>
        <w:ind w:firstLine="480" w:firstLineChars="200"/>
        <w:jc w:val="left"/>
        <w:textAlignment w:val="auto"/>
        <w:rPr>
          <w:rFonts w:ascii="宋体" w:hAnsi="宋体" w:cs="宋体"/>
          <w:color w:val="000000"/>
          <w:kern w:val="0"/>
          <w:sz w:val="24"/>
        </w:rPr>
      </w:pPr>
      <w:r>
        <w:rPr>
          <w:rFonts w:hint="eastAsia" w:ascii="宋体" w:hAnsi="宋体" w:cs="宋体"/>
          <w:color w:val="000000"/>
          <w:kern w:val="0"/>
          <w:sz w:val="24"/>
        </w:rPr>
        <w:t>十</w:t>
      </w:r>
      <w:r>
        <w:rPr>
          <w:rFonts w:hint="eastAsia" w:ascii="宋体" w:hAnsi="宋体" w:cs="宋体"/>
          <w:color w:val="000000"/>
          <w:kern w:val="0"/>
          <w:sz w:val="24"/>
          <w:lang w:val="en-US" w:eastAsia="zh-CN"/>
        </w:rPr>
        <w:t>一</w:t>
      </w:r>
      <w:r>
        <w:rPr>
          <w:rFonts w:hint="eastAsia" w:ascii="宋体" w:hAnsi="宋体" w:cs="宋体"/>
          <w:color w:val="000000"/>
          <w:kern w:val="0"/>
          <w:sz w:val="24"/>
        </w:rPr>
        <w:t>、违约责任：按照</w:t>
      </w:r>
      <w:r>
        <w:rPr>
          <w:rFonts w:hint="eastAsia" w:ascii="宋体" w:hAnsi="宋体" w:cs="宋体"/>
          <w:color w:val="000000"/>
          <w:sz w:val="24"/>
        </w:rPr>
        <w:t>当期《交易公告》</w:t>
      </w:r>
      <w:r>
        <w:rPr>
          <w:rFonts w:hint="eastAsia" w:ascii="宋体" w:hAnsi="宋体" w:cs="宋体"/>
          <w:color w:val="000000"/>
          <w:kern w:val="0"/>
          <w:sz w:val="24"/>
        </w:rPr>
        <w:t>《民法典》及有关规定执行。</w:t>
      </w:r>
    </w:p>
    <w:p>
      <w:pPr>
        <w:keepNext w:val="0"/>
        <w:keepLines w:val="0"/>
        <w:pageBreakBefore w:val="0"/>
        <w:widowControl/>
        <w:kinsoku/>
        <w:wordWrap/>
        <w:overflowPunct/>
        <w:topLinePunct w:val="0"/>
        <w:autoSpaceDE/>
        <w:autoSpaceDN/>
        <w:bidi w:val="0"/>
        <w:spacing w:line="560" w:lineRule="exact"/>
        <w:ind w:firstLine="480" w:firstLineChars="200"/>
        <w:jc w:val="left"/>
        <w:textAlignment w:val="auto"/>
        <w:rPr>
          <w:rFonts w:ascii="宋体" w:hAnsi="宋体" w:cs="宋体"/>
          <w:color w:val="000000"/>
          <w:kern w:val="0"/>
          <w:sz w:val="24"/>
        </w:rPr>
      </w:pPr>
      <w:r>
        <w:rPr>
          <w:rFonts w:hint="eastAsia" w:ascii="宋体" w:hAnsi="宋体" w:cs="宋体"/>
          <w:color w:val="000000"/>
          <w:kern w:val="0"/>
          <w:sz w:val="24"/>
        </w:rPr>
        <w:t>十</w:t>
      </w:r>
      <w:r>
        <w:rPr>
          <w:rFonts w:hint="eastAsia" w:ascii="宋体" w:hAnsi="宋体" w:cs="宋体"/>
          <w:color w:val="000000"/>
          <w:kern w:val="0"/>
          <w:sz w:val="24"/>
          <w:lang w:val="en-US" w:eastAsia="zh-CN"/>
        </w:rPr>
        <w:t>二</w:t>
      </w:r>
      <w:r>
        <w:rPr>
          <w:rFonts w:hint="eastAsia" w:ascii="宋体" w:hAnsi="宋体" w:cs="宋体"/>
          <w:color w:val="000000"/>
          <w:kern w:val="0"/>
          <w:sz w:val="24"/>
        </w:rPr>
        <w:t>、合同争议的解决方式：按照《</w:t>
      </w:r>
      <w:r>
        <w:rPr>
          <w:rFonts w:hint="eastAsia" w:ascii="宋体" w:hAnsi="宋体" w:cs="宋体"/>
          <w:color w:val="000000"/>
          <w:sz w:val="24"/>
        </w:rPr>
        <w:t>民法典</w:t>
      </w:r>
      <w:r>
        <w:rPr>
          <w:rFonts w:hint="eastAsia" w:ascii="宋体" w:hAnsi="宋体" w:cs="宋体"/>
          <w:color w:val="000000"/>
          <w:kern w:val="0"/>
          <w:sz w:val="24"/>
        </w:rPr>
        <w:t>》《民诉法》有关规定执行。</w:t>
      </w:r>
      <w:r>
        <w:rPr>
          <w:rFonts w:ascii="宋体" w:hAnsi="宋体" w:cs="宋体"/>
          <w:color w:val="000000"/>
          <w:kern w:val="0"/>
          <w:sz w:val="24"/>
        </w:rPr>
        <w:t xml:space="preserve"> </w:t>
      </w:r>
    </w:p>
    <w:p>
      <w:pPr>
        <w:keepNext w:val="0"/>
        <w:keepLines w:val="0"/>
        <w:pageBreakBefore w:val="0"/>
        <w:widowControl/>
        <w:kinsoku/>
        <w:wordWrap/>
        <w:overflowPunct/>
        <w:topLinePunct w:val="0"/>
        <w:autoSpaceDE/>
        <w:autoSpaceDN/>
        <w:bidi w:val="0"/>
        <w:spacing w:line="560" w:lineRule="exact"/>
        <w:ind w:firstLine="480" w:firstLineChars="200"/>
        <w:jc w:val="left"/>
        <w:textAlignment w:val="auto"/>
        <w:rPr>
          <w:rFonts w:ascii="宋体" w:hAnsi="宋体" w:cs="宋体"/>
          <w:color w:val="000000"/>
          <w:kern w:val="0"/>
          <w:sz w:val="24"/>
        </w:rPr>
      </w:pPr>
      <w:r>
        <w:rPr>
          <w:rFonts w:hint="eastAsia" w:ascii="宋体" w:hAnsi="宋体" w:cs="宋体"/>
          <w:color w:val="000000"/>
          <w:kern w:val="0"/>
          <w:sz w:val="24"/>
        </w:rPr>
        <w:t>十</w:t>
      </w:r>
      <w:r>
        <w:rPr>
          <w:rFonts w:hint="eastAsia" w:ascii="宋体" w:hAnsi="宋体" w:cs="宋体"/>
          <w:color w:val="000000"/>
          <w:kern w:val="0"/>
          <w:sz w:val="24"/>
          <w:lang w:val="en-US" w:eastAsia="zh-CN"/>
        </w:rPr>
        <w:t>三</w:t>
      </w:r>
      <w:r>
        <w:rPr>
          <w:rFonts w:hint="eastAsia" w:ascii="宋体" w:hAnsi="宋体" w:cs="宋体"/>
          <w:color w:val="000000"/>
          <w:kern w:val="0"/>
          <w:sz w:val="24"/>
        </w:rPr>
        <w:t>、合同一式二份，双方</w:t>
      </w:r>
      <w:r>
        <w:rPr>
          <w:rFonts w:hint="eastAsia" w:ascii="宋体" w:hAnsi="宋体"/>
          <w:color w:val="000000"/>
          <w:sz w:val="24"/>
        </w:rPr>
        <w:t>代表签字并盖具单位公章后生效，双方各执一份。</w:t>
      </w:r>
    </w:p>
    <w:p>
      <w:pPr>
        <w:keepNext w:val="0"/>
        <w:keepLines w:val="0"/>
        <w:pageBreakBefore w:val="0"/>
        <w:widowControl/>
        <w:kinsoku/>
        <w:wordWrap/>
        <w:overflowPunct/>
        <w:topLinePunct w:val="0"/>
        <w:autoSpaceDE/>
        <w:autoSpaceDN/>
        <w:bidi w:val="0"/>
        <w:spacing w:line="560" w:lineRule="exact"/>
        <w:ind w:firstLine="480" w:firstLineChars="200"/>
        <w:jc w:val="left"/>
        <w:textAlignment w:val="auto"/>
        <w:rPr>
          <w:rFonts w:ascii="宋体" w:hAnsi="宋体" w:cs="宋体"/>
          <w:color w:val="000000"/>
          <w:kern w:val="0"/>
          <w:sz w:val="24"/>
        </w:rPr>
      </w:pPr>
      <w:r>
        <w:rPr>
          <w:rFonts w:hint="eastAsia" w:ascii="宋体" w:hAnsi="宋体" w:cs="宋体"/>
          <w:color w:val="000000"/>
          <w:kern w:val="0"/>
          <w:sz w:val="24"/>
        </w:rPr>
        <w:t>十</w:t>
      </w:r>
      <w:r>
        <w:rPr>
          <w:rFonts w:hint="eastAsia" w:ascii="宋体" w:hAnsi="宋体" w:cs="宋体"/>
          <w:color w:val="000000"/>
          <w:kern w:val="0"/>
          <w:sz w:val="24"/>
          <w:lang w:val="en-US" w:eastAsia="zh-CN"/>
        </w:rPr>
        <w:t>四</w:t>
      </w:r>
      <w:r>
        <w:rPr>
          <w:rFonts w:hint="eastAsia" w:ascii="宋体" w:hAnsi="宋体" w:cs="宋体"/>
          <w:color w:val="000000"/>
          <w:kern w:val="0"/>
          <w:sz w:val="24"/>
        </w:rPr>
        <w:t>、未尽事宜、另行协商。</w:t>
      </w:r>
    </w:p>
    <w:p/>
    <w:p/>
    <w:p/>
    <w:p>
      <w:pPr>
        <w:jc w:val="center"/>
      </w:pPr>
    </w:p>
    <w:tbl>
      <w:tblPr>
        <w:tblStyle w:val="6"/>
        <w:tblpPr w:leftFromText="180" w:rightFromText="180" w:vertAnchor="text" w:horzAnchor="page" w:tblpXSpec="center" w:tblpY="120"/>
        <w:tblW w:w="8868" w:type="dxa"/>
        <w:jc w:val="center"/>
        <w:tblLayout w:type="autofit"/>
        <w:tblCellMar>
          <w:top w:w="0" w:type="dxa"/>
          <w:left w:w="108" w:type="dxa"/>
          <w:bottom w:w="0" w:type="dxa"/>
          <w:right w:w="108" w:type="dxa"/>
        </w:tblCellMar>
      </w:tblPr>
      <w:tblGrid>
        <w:gridCol w:w="4502"/>
        <w:gridCol w:w="4366"/>
      </w:tblGrid>
      <w:tr>
        <w:tblPrEx>
          <w:tblCellMar>
            <w:top w:w="0" w:type="dxa"/>
            <w:left w:w="108" w:type="dxa"/>
            <w:bottom w:w="0" w:type="dxa"/>
            <w:right w:w="108" w:type="dxa"/>
          </w:tblCellMar>
        </w:tblPrEx>
        <w:trPr>
          <w:trHeight w:val="5220" w:hRule="atLeast"/>
          <w:jc w:val="center"/>
        </w:trPr>
        <w:tc>
          <w:tcPr>
            <w:tcW w:w="4502" w:type="dxa"/>
            <w:tcBorders>
              <w:top w:val="single" w:color="auto" w:sz="4" w:space="0"/>
              <w:left w:val="single" w:color="auto" w:sz="4" w:space="0"/>
              <w:bottom w:val="single" w:color="auto" w:sz="4" w:space="0"/>
              <w:right w:val="single" w:color="auto" w:sz="4" w:space="0"/>
            </w:tcBorders>
          </w:tcPr>
          <w:p>
            <w:pPr>
              <w:spacing w:line="460" w:lineRule="exact"/>
              <w:jc w:val="center"/>
              <w:rPr>
                <w:rFonts w:ascii="宋体" w:hAnsi="宋体"/>
                <w:sz w:val="24"/>
              </w:rPr>
            </w:pPr>
            <w:r>
              <w:rPr>
                <w:rFonts w:hint="eastAsia" w:ascii="宋体" w:hAnsi="宋体"/>
                <w:sz w:val="24"/>
              </w:rPr>
              <w:t>甲           方</w:t>
            </w:r>
          </w:p>
          <w:p>
            <w:pPr>
              <w:spacing w:line="460" w:lineRule="exact"/>
              <w:ind w:left="1200" w:hanging="1200" w:hangingChars="500"/>
              <w:rPr>
                <w:rFonts w:ascii="宋体" w:hAnsi="宋体"/>
                <w:sz w:val="24"/>
              </w:rPr>
            </w:pPr>
            <w:r>
              <w:rPr>
                <w:rFonts w:hint="eastAsia" w:ascii="宋体" w:hAnsi="宋体"/>
                <w:sz w:val="24"/>
              </w:rPr>
              <w:t>单位名称：杭州市富阳区粮食收储有限公司</w:t>
            </w:r>
          </w:p>
          <w:p>
            <w:pPr>
              <w:spacing w:line="460" w:lineRule="exact"/>
              <w:ind w:left="1200" w:hanging="1200" w:hangingChars="500"/>
              <w:rPr>
                <w:rFonts w:ascii="宋体" w:hAnsi="宋体"/>
                <w:sz w:val="24"/>
              </w:rPr>
            </w:pPr>
            <w:r>
              <w:rPr>
                <w:rFonts w:hint="eastAsia" w:ascii="宋体" w:hAnsi="宋体"/>
                <w:sz w:val="24"/>
              </w:rPr>
              <w:t>单位地址：富春街道杨清庙村牌楼217号</w:t>
            </w:r>
          </w:p>
          <w:p>
            <w:pPr>
              <w:spacing w:line="460" w:lineRule="exact"/>
              <w:rPr>
                <w:rFonts w:ascii="宋体" w:hAnsi="宋体"/>
                <w:sz w:val="24"/>
              </w:rPr>
            </w:pPr>
            <w:r>
              <w:rPr>
                <w:rFonts w:hint="eastAsia" w:ascii="宋体" w:hAnsi="宋体"/>
                <w:sz w:val="24"/>
              </w:rPr>
              <w:t>法定代表人：</w:t>
            </w:r>
          </w:p>
          <w:p>
            <w:pPr>
              <w:spacing w:line="460" w:lineRule="exact"/>
              <w:rPr>
                <w:rFonts w:ascii="宋体" w:hAnsi="宋体"/>
                <w:sz w:val="24"/>
              </w:rPr>
            </w:pPr>
            <w:r>
              <w:rPr>
                <w:rFonts w:hint="eastAsia" w:ascii="宋体" w:hAnsi="宋体"/>
                <w:sz w:val="24"/>
              </w:rPr>
              <w:t>委托代理人：</w:t>
            </w:r>
          </w:p>
          <w:p>
            <w:pPr>
              <w:spacing w:line="460" w:lineRule="exact"/>
              <w:ind w:left="1200" w:hanging="1200" w:hangingChars="500"/>
              <w:rPr>
                <w:rFonts w:ascii="宋体" w:hAnsi="宋体"/>
                <w:sz w:val="24"/>
              </w:rPr>
            </w:pPr>
            <w:r>
              <w:rPr>
                <w:rFonts w:hint="eastAsia" w:ascii="宋体" w:hAnsi="宋体"/>
                <w:sz w:val="24"/>
              </w:rPr>
              <w:t>开户银行：中国农业发展银行杭州市富阳支行</w:t>
            </w:r>
          </w:p>
          <w:p>
            <w:pPr>
              <w:spacing w:line="460" w:lineRule="exact"/>
              <w:rPr>
                <w:rFonts w:ascii="宋体" w:hAnsi="宋体"/>
                <w:sz w:val="24"/>
              </w:rPr>
            </w:pPr>
            <w:r>
              <w:rPr>
                <w:rFonts w:hint="eastAsia" w:ascii="宋体" w:hAnsi="宋体"/>
                <w:sz w:val="24"/>
              </w:rPr>
              <w:t>帐    号：20333018300100000001511</w:t>
            </w:r>
          </w:p>
          <w:p>
            <w:pPr>
              <w:spacing w:line="460" w:lineRule="exact"/>
              <w:rPr>
                <w:rFonts w:ascii="宋体" w:hAnsi="宋体"/>
                <w:sz w:val="24"/>
              </w:rPr>
            </w:pPr>
            <w:r>
              <w:rPr>
                <w:rFonts w:hint="eastAsia" w:ascii="宋体" w:hAnsi="宋体"/>
                <w:sz w:val="24"/>
              </w:rPr>
              <w:t>邮政编码：311403</w:t>
            </w:r>
          </w:p>
          <w:p>
            <w:pPr>
              <w:spacing w:line="460" w:lineRule="exact"/>
              <w:rPr>
                <w:rFonts w:ascii="宋体" w:hAnsi="宋体"/>
                <w:sz w:val="24"/>
              </w:rPr>
            </w:pPr>
            <w:r>
              <w:rPr>
                <w:rFonts w:hint="eastAsia" w:ascii="宋体" w:hAnsi="宋体"/>
                <w:sz w:val="24"/>
              </w:rPr>
              <w:t>电    话：0571-63470356，63470351</w:t>
            </w:r>
          </w:p>
        </w:tc>
        <w:tc>
          <w:tcPr>
            <w:tcW w:w="4366" w:type="dxa"/>
            <w:tcBorders>
              <w:top w:val="single" w:color="auto" w:sz="4" w:space="0"/>
              <w:left w:val="single" w:color="auto" w:sz="4" w:space="0"/>
              <w:bottom w:val="single" w:color="auto" w:sz="4" w:space="0"/>
              <w:right w:val="single" w:color="auto" w:sz="4" w:space="0"/>
            </w:tcBorders>
          </w:tcPr>
          <w:p>
            <w:pPr>
              <w:spacing w:line="460" w:lineRule="exact"/>
              <w:jc w:val="center"/>
              <w:rPr>
                <w:rFonts w:ascii="宋体" w:hAnsi="宋体"/>
                <w:sz w:val="24"/>
              </w:rPr>
            </w:pPr>
            <w:r>
              <w:rPr>
                <w:rFonts w:hint="eastAsia" w:ascii="宋体" w:hAnsi="宋体"/>
                <w:sz w:val="24"/>
              </w:rPr>
              <w:t>乙         方</w:t>
            </w:r>
          </w:p>
          <w:p>
            <w:pPr>
              <w:spacing w:line="460" w:lineRule="exact"/>
              <w:rPr>
                <w:rFonts w:ascii="宋体" w:hAnsi="宋体"/>
                <w:sz w:val="24"/>
              </w:rPr>
            </w:pPr>
            <w:r>
              <w:rPr>
                <w:rFonts w:hint="eastAsia" w:ascii="宋体" w:hAnsi="宋体"/>
                <w:sz w:val="24"/>
              </w:rPr>
              <w:t>单位名称：</w:t>
            </w:r>
          </w:p>
          <w:p>
            <w:pPr>
              <w:spacing w:line="460" w:lineRule="exact"/>
              <w:rPr>
                <w:rFonts w:ascii="宋体" w:hAnsi="宋体"/>
                <w:sz w:val="24"/>
              </w:rPr>
            </w:pPr>
            <w:r>
              <w:rPr>
                <w:rFonts w:hint="eastAsia" w:ascii="宋体" w:hAnsi="宋体"/>
                <w:sz w:val="24"/>
              </w:rPr>
              <w:t>单位地址：</w:t>
            </w:r>
          </w:p>
          <w:p>
            <w:pPr>
              <w:spacing w:line="460" w:lineRule="exact"/>
              <w:rPr>
                <w:rFonts w:ascii="宋体" w:hAnsi="宋体"/>
                <w:sz w:val="24"/>
              </w:rPr>
            </w:pPr>
            <w:r>
              <w:rPr>
                <w:rFonts w:hint="eastAsia" w:ascii="宋体" w:hAnsi="宋体"/>
                <w:sz w:val="24"/>
              </w:rPr>
              <w:t>法定代表人：</w:t>
            </w:r>
          </w:p>
          <w:p>
            <w:pPr>
              <w:spacing w:line="460" w:lineRule="exact"/>
              <w:rPr>
                <w:rFonts w:ascii="宋体" w:hAnsi="宋体"/>
                <w:sz w:val="24"/>
              </w:rPr>
            </w:pPr>
            <w:r>
              <w:rPr>
                <w:rFonts w:hint="eastAsia" w:ascii="宋体" w:hAnsi="宋体"/>
                <w:sz w:val="24"/>
              </w:rPr>
              <w:t>委托代理人：</w:t>
            </w:r>
          </w:p>
          <w:p>
            <w:pPr>
              <w:spacing w:line="460" w:lineRule="exact"/>
              <w:rPr>
                <w:rFonts w:ascii="宋体" w:hAnsi="宋体"/>
                <w:sz w:val="24"/>
              </w:rPr>
            </w:pPr>
            <w:r>
              <w:rPr>
                <w:rFonts w:hint="eastAsia" w:ascii="宋体" w:hAnsi="宋体"/>
                <w:sz w:val="24"/>
              </w:rPr>
              <w:t>开户银行：</w:t>
            </w:r>
          </w:p>
          <w:p>
            <w:pPr>
              <w:spacing w:line="460" w:lineRule="exact"/>
              <w:rPr>
                <w:rFonts w:ascii="宋体" w:hAnsi="宋体"/>
                <w:sz w:val="24"/>
              </w:rPr>
            </w:pPr>
            <w:r>
              <w:rPr>
                <w:rFonts w:hint="eastAsia" w:ascii="宋体" w:hAnsi="宋体"/>
                <w:sz w:val="24"/>
              </w:rPr>
              <w:t>帐    号：</w:t>
            </w:r>
          </w:p>
          <w:p>
            <w:pPr>
              <w:spacing w:line="460" w:lineRule="exact"/>
              <w:rPr>
                <w:rFonts w:ascii="宋体" w:hAnsi="宋体"/>
                <w:sz w:val="24"/>
              </w:rPr>
            </w:pPr>
            <w:r>
              <w:rPr>
                <w:rFonts w:hint="eastAsia" w:ascii="宋体" w:hAnsi="宋体"/>
                <w:sz w:val="24"/>
              </w:rPr>
              <w:t>邮政编码：</w:t>
            </w:r>
          </w:p>
          <w:p>
            <w:pPr>
              <w:spacing w:line="460" w:lineRule="exact"/>
              <w:rPr>
                <w:rFonts w:ascii="宋体" w:hAnsi="宋体"/>
                <w:b/>
                <w:sz w:val="24"/>
              </w:rPr>
            </w:pPr>
            <w:r>
              <w:rPr>
                <w:rFonts w:hint="eastAsia" w:ascii="宋体" w:hAnsi="宋体"/>
                <w:sz w:val="24"/>
              </w:rPr>
              <w:t>电    话：</w:t>
            </w:r>
          </w:p>
        </w:tc>
      </w:tr>
    </w:tbl>
    <w:p/>
    <w:p/>
    <w:p/>
    <w:p>
      <w:pPr>
        <w:tabs>
          <w:tab w:val="left" w:pos="4620"/>
        </w:tabs>
      </w:pPr>
      <w:r>
        <w:tab/>
      </w:r>
    </w:p>
    <w:p>
      <w:pPr>
        <w:tabs>
          <w:tab w:val="left" w:pos="4620"/>
        </w:tabs>
      </w:pPr>
    </w:p>
    <w:p>
      <w:pPr>
        <w:tabs>
          <w:tab w:val="left" w:pos="4620"/>
        </w:tabs>
      </w:pPr>
    </w:p>
    <w:p>
      <w:pPr>
        <w:tabs>
          <w:tab w:val="left" w:pos="4620"/>
        </w:tabs>
      </w:pPr>
    </w:p>
    <w:p>
      <w:pPr>
        <w:tabs>
          <w:tab w:val="left" w:pos="4620"/>
        </w:tabs>
      </w:pPr>
    </w:p>
    <w:sectPr>
      <w:pgSz w:w="11906" w:h="16838"/>
      <w:pgMar w:top="1247" w:right="1800" w:bottom="1247"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jRmMzU2ZjZhNzAwN2FkZGQxMmU2ZTUwZmI3ZDAxYTkifQ=="/>
  </w:docVars>
  <w:rsids>
    <w:rsidRoot w:val="005A7578"/>
    <w:rsid w:val="000004BE"/>
    <w:rsid w:val="000033B0"/>
    <w:rsid w:val="00003698"/>
    <w:rsid w:val="00004CE6"/>
    <w:rsid w:val="00006AF3"/>
    <w:rsid w:val="00006BCA"/>
    <w:rsid w:val="0001085C"/>
    <w:rsid w:val="00010A2B"/>
    <w:rsid w:val="0001103B"/>
    <w:rsid w:val="00011D86"/>
    <w:rsid w:val="00020CEB"/>
    <w:rsid w:val="000223C8"/>
    <w:rsid w:val="00022A6F"/>
    <w:rsid w:val="00026F19"/>
    <w:rsid w:val="000276E5"/>
    <w:rsid w:val="000317CB"/>
    <w:rsid w:val="00031EED"/>
    <w:rsid w:val="000330C0"/>
    <w:rsid w:val="00033DCD"/>
    <w:rsid w:val="00036E48"/>
    <w:rsid w:val="00037950"/>
    <w:rsid w:val="00037AE5"/>
    <w:rsid w:val="000410FE"/>
    <w:rsid w:val="00043B9C"/>
    <w:rsid w:val="000453C7"/>
    <w:rsid w:val="000571F2"/>
    <w:rsid w:val="00060826"/>
    <w:rsid w:val="00061B42"/>
    <w:rsid w:val="00062693"/>
    <w:rsid w:val="00063E52"/>
    <w:rsid w:val="00064193"/>
    <w:rsid w:val="00064387"/>
    <w:rsid w:val="00064CA8"/>
    <w:rsid w:val="00064F98"/>
    <w:rsid w:val="000651B6"/>
    <w:rsid w:val="00065528"/>
    <w:rsid w:val="00065B19"/>
    <w:rsid w:val="00070837"/>
    <w:rsid w:val="00072D6C"/>
    <w:rsid w:val="00073868"/>
    <w:rsid w:val="00080101"/>
    <w:rsid w:val="000805E0"/>
    <w:rsid w:val="00081280"/>
    <w:rsid w:val="000822D1"/>
    <w:rsid w:val="00082F4A"/>
    <w:rsid w:val="0008735D"/>
    <w:rsid w:val="00087A2D"/>
    <w:rsid w:val="00087A5B"/>
    <w:rsid w:val="00087ACC"/>
    <w:rsid w:val="0009024A"/>
    <w:rsid w:val="00093D2E"/>
    <w:rsid w:val="00096948"/>
    <w:rsid w:val="00097163"/>
    <w:rsid w:val="00097C56"/>
    <w:rsid w:val="000A0625"/>
    <w:rsid w:val="000A1BC8"/>
    <w:rsid w:val="000A5204"/>
    <w:rsid w:val="000A55C0"/>
    <w:rsid w:val="000A7750"/>
    <w:rsid w:val="000B0BBB"/>
    <w:rsid w:val="000B2167"/>
    <w:rsid w:val="000B30EB"/>
    <w:rsid w:val="000B3BFA"/>
    <w:rsid w:val="000B596A"/>
    <w:rsid w:val="000B5B7B"/>
    <w:rsid w:val="000B73D4"/>
    <w:rsid w:val="000C0095"/>
    <w:rsid w:val="000C1AE5"/>
    <w:rsid w:val="000C207F"/>
    <w:rsid w:val="000C2C97"/>
    <w:rsid w:val="000C579E"/>
    <w:rsid w:val="000D1D46"/>
    <w:rsid w:val="000D2435"/>
    <w:rsid w:val="000D2D70"/>
    <w:rsid w:val="000D5019"/>
    <w:rsid w:val="000D55E3"/>
    <w:rsid w:val="000E07B6"/>
    <w:rsid w:val="000E0E69"/>
    <w:rsid w:val="000E2ABD"/>
    <w:rsid w:val="000E4758"/>
    <w:rsid w:val="000E587A"/>
    <w:rsid w:val="000E7831"/>
    <w:rsid w:val="000F27D4"/>
    <w:rsid w:val="000F3BE5"/>
    <w:rsid w:val="000F4276"/>
    <w:rsid w:val="000F648F"/>
    <w:rsid w:val="000F672D"/>
    <w:rsid w:val="00100340"/>
    <w:rsid w:val="0010406E"/>
    <w:rsid w:val="00107019"/>
    <w:rsid w:val="00110D04"/>
    <w:rsid w:val="00111D2C"/>
    <w:rsid w:val="00114A69"/>
    <w:rsid w:val="00115D51"/>
    <w:rsid w:val="00116E55"/>
    <w:rsid w:val="00120DCD"/>
    <w:rsid w:val="001215F3"/>
    <w:rsid w:val="00121783"/>
    <w:rsid w:val="0013600A"/>
    <w:rsid w:val="0013651B"/>
    <w:rsid w:val="0013725D"/>
    <w:rsid w:val="00141763"/>
    <w:rsid w:val="00142AD5"/>
    <w:rsid w:val="00143CCF"/>
    <w:rsid w:val="00144257"/>
    <w:rsid w:val="00146805"/>
    <w:rsid w:val="001516CC"/>
    <w:rsid w:val="00156899"/>
    <w:rsid w:val="00157AB5"/>
    <w:rsid w:val="00160095"/>
    <w:rsid w:val="00161C23"/>
    <w:rsid w:val="00164BB0"/>
    <w:rsid w:val="00165521"/>
    <w:rsid w:val="001658A4"/>
    <w:rsid w:val="00166982"/>
    <w:rsid w:val="00170348"/>
    <w:rsid w:val="00172A3A"/>
    <w:rsid w:val="001736A4"/>
    <w:rsid w:val="0017429C"/>
    <w:rsid w:val="00174EAC"/>
    <w:rsid w:val="00175219"/>
    <w:rsid w:val="00176C92"/>
    <w:rsid w:val="00181A78"/>
    <w:rsid w:val="001839D0"/>
    <w:rsid w:val="00190669"/>
    <w:rsid w:val="00192B48"/>
    <w:rsid w:val="00192C15"/>
    <w:rsid w:val="0019453D"/>
    <w:rsid w:val="00197CB1"/>
    <w:rsid w:val="00197D55"/>
    <w:rsid w:val="00197D9F"/>
    <w:rsid w:val="001A2B45"/>
    <w:rsid w:val="001A3764"/>
    <w:rsid w:val="001A4143"/>
    <w:rsid w:val="001A7E9F"/>
    <w:rsid w:val="001B10D1"/>
    <w:rsid w:val="001B19CA"/>
    <w:rsid w:val="001B4984"/>
    <w:rsid w:val="001B5247"/>
    <w:rsid w:val="001B76AE"/>
    <w:rsid w:val="001C2A46"/>
    <w:rsid w:val="001C3C27"/>
    <w:rsid w:val="001C44FB"/>
    <w:rsid w:val="001D037A"/>
    <w:rsid w:val="001D294B"/>
    <w:rsid w:val="001D3535"/>
    <w:rsid w:val="001D7C6D"/>
    <w:rsid w:val="001D7FEA"/>
    <w:rsid w:val="001E11A8"/>
    <w:rsid w:val="001E1E90"/>
    <w:rsid w:val="001E5185"/>
    <w:rsid w:val="001E61D1"/>
    <w:rsid w:val="001E6239"/>
    <w:rsid w:val="001F09F4"/>
    <w:rsid w:val="001F3164"/>
    <w:rsid w:val="002018B3"/>
    <w:rsid w:val="00202872"/>
    <w:rsid w:val="00203FC1"/>
    <w:rsid w:val="00204E85"/>
    <w:rsid w:val="002064F5"/>
    <w:rsid w:val="00206D69"/>
    <w:rsid w:val="002119B8"/>
    <w:rsid w:val="00211CC8"/>
    <w:rsid w:val="00212958"/>
    <w:rsid w:val="00215C26"/>
    <w:rsid w:val="00216BD8"/>
    <w:rsid w:val="00216F53"/>
    <w:rsid w:val="0021755B"/>
    <w:rsid w:val="002175D1"/>
    <w:rsid w:val="00220F9F"/>
    <w:rsid w:val="00225740"/>
    <w:rsid w:val="002257FC"/>
    <w:rsid w:val="002300DB"/>
    <w:rsid w:val="00232970"/>
    <w:rsid w:val="002341E9"/>
    <w:rsid w:val="00234ACC"/>
    <w:rsid w:val="00237043"/>
    <w:rsid w:val="0024092D"/>
    <w:rsid w:val="00242F45"/>
    <w:rsid w:val="00243565"/>
    <w:rsid w:val="002439C5"/>
    <w:rsid w:val="00243C01"/>
    <w:rsid w:val="0024489C"/>
    <w:rsid w:val="00247594"/>
    <w:rsid w:val="00247B91"/>
    <w:rsid w:val="00247BA5"/>
    <w:rsid w:val="0025089A"/>
    <w:rsid w:val="00250952"/>
    <w:rsid w:val="0025111F"/>
    <w:rsid w:val="00254792"/>
    <w:rsid w:val="00255F33"/>
    <w:rsid w:val="00260ABA"/>
    <w:rsid w:val="00262809"/>
    <w:rsid w:val="00262AFD"/>
    <w:rsid w:val="00265C2E"/>
    <w:rsid w:val="002663EF"/>
    <w:rsid w:val="00271A59"/>
    <w:rsid w:val="00273E47"/>
    <w:rsid w:val="0027417D"/>
    <w:rsid w:val="00277A96"/>
    <w:rsid w:val="002838DB"/>
    <w:rsid w:val="00286C8A"/>
    <w:rsid w:val="0029056D"/>
    <w:rsid w:val="00293BF6"/>
    <w:rsid w:val="00293C36"/>
    <w:rsid w:val="00294449"/>
    <w:rsid w:val="002957F7"/>
    <w:rsid w:val="00295823"/>
    <w:rsid w:val="002A1169"/>
    <w:rsid w:val="002A27B5"/>
    <w:rsid w:val="002A4190"/>
    <w:rsid w:val="002A49BA"/>
    <w:rsid w:val="002B3040"/>
    <w:rsid w:val="002B3834"/>
    <w:rsid w:val="002B3AD7"/>
    <w:rsid w:val="002B42A1"/>
    <w:rsid w:val="002B4D1B"/>
    <w:rsid w:val="002B509A"/>
    <w:rsid w:val="002B73A9"/>
    <w:rsid w:val="002B7AD6"/>
    <w:rsid w:val="002C1859"/>
    <w:rsid w:val="002C2BCE"/>
    <w:rsid w:val="002C4860"/>
    <w:rsid w:val="002C4CB0"/>
    <w:rsid w:val="002C713A"/>
    <w:rsid w:val="002C76FF"/>
    <w:rsid w:val="002D4CCD"/>
    <w:rsid w:val="002D4F5E"/>
    <w:rsid w:val="002E302C"/>
    <w:rsid w:val="002E3A50"/>
    <w:rsid w:val="002E403F"/>
    <w:rsid w:val="002E7C66"/>
    <w:rsid w:val="002F2851"/>
    <w:rsid w:val="00300BA4"/>
    <w:rsid w:val="00301305"/>
    <w:rsid w:val="003017AE"/>
    <w:rsid w:val="0030281A"/>
    <w:rsid w:val="003028B7"/>
    <w:rsid w:val="00302E32"/>
    <w:rsid w:val="003046D0"/>
    <w:rsid w:val="00311035"/>
    <w:rsid w:val="003117B6"/>
    <w:rsid w:val="00312ADC"/>
    <w:rsid w:val="00313D76"/>
    <w:rsid w:val="00313ECB"/>
    <w:rsid w:val="00316036"/>
    <w:rsid w:val="003234A6"/>
    <w:rsid w:val="003234C7"/>
    <w:rsid w:val="00324AB1"/>
    <w:rsid w:val="00326176"/>
    <w:rsid w:val="00331F34"/>
    <w:rsid w:val="00332CA9"/>
    <w:rsid w:val="00340F37"/>
    <w:rsid w:val="003414CF"/>
    <w:rsid w:val="00341834"/>
    <w:rsid w:val="00343AF1"/>
    <w:rsid w:val="003449E7"/>
    <w:rsid w:val="00345742"/>
    <w:rsid w:val="00346699"/>
    <w:rsid w:val="00346A17"/>
    <w:rsid w:val="00346B19"/>
    <w:rsid w:val="00351193"/>
    <w:rsid w:val="00351AB9"/>
    <w:rsid w:val="00352DB9"/>
    <w:rsid w:val="00354924"/>
    <w:rsid w:val="003608D6"/>
    <w:rsid w:val="00362A1A"/>
    <w:rsid w:val="00362CC4"/>
    <w:rsid w:val="003725B9"/>
    <w:rsid w:val="00372AE1"/>
    <w:rsid w:val="00373100"/>
    <w:rsid w:val="00373163"/>
    <w:rsid w:val="00374BF0"/>
    <w:rsid w:val="00376F1E"/>
    <w:rsid w:val="00380173"/>
    <w:rsid w:val="00380D67"/>
    <w:rsid w:val="00381ACC"/>
    <w:rsid w:val="00385575"/>
    <w:rsid w:val="0038641C"/>
    <w:rsid w:val="00393338"/>
    <w:rsid w:val="003941A1"/>
    <w:rsid w:val="00395509"/>
    <w:rsid w:val="00396554"/>
    <w:rsid w:val="003A037B"/>
    <w:rsid w:val="003A1E10"/>
    <w:rsid w:val="003A34A6"/>
    <w:rsid w:val="003A5BA3"/>
    <w:rsid w:val="003A657B"/>
    <w:rsid w:val="003A7F8E"/>
    <w:rsid w:val="003B194C"/>
    <w:rsid w:val="003B33DA"/>
    <w:rsid w:val="003B3E15"/>
    <w:rsid w:val="003B4DDF"/>
    <w:rsid w:val="003C67C3"/>
    <w:rsid w:val="003D0CDE"/>
    <w:rsid w:val="003D47A1"/>
    <w:rsid w:val="003D48B2"/>
    <w:rsid w:val="003D6789"/>
    <w:rsid w:val="003D6CAB"/>
    <w:rsid w:val="003D7405"/>
    <w:rsid w:val="003D75C4"/>
    <w:rsid w:val="003E3C2D"/>
    <w:rsid w:val="003E4DCD"/>
    <w:rsid w:val="003E5327"/>
    <w:rsid w:val="003E72CC"/>
    <w:rsid w:val="003F296F"/>
    <w:rsid w:val="003F3000"/>
    <w:rsid w:val="003F4A87"/>
    <w:rsid w:val="003F67FA"/>
    <w:rsid w:val="003F6DE5"/>
    <w:rsid w:val="003F7124"/>
    <w:rsid w:val="00400128"/>
    <w:rsid w:val="00401774"/>
    <w:rsid w:val="00401FD7"/>
    <w:rsid w:val="004028CE"/>
    <w:rsid w:val="00403FA7"/>
    <w:rsid w:val="00404A16"/>
    <w:rsid w:val="00405991"/>
    <w:rsid w:val="004063B8"/>
    <w:rsid w:val="004119B8"/>
    <w:rsid w:val="00412195"/>
    <w:rsid w:val="0041259B"/>
    <w:rsid w:val="0041437D"/>
    <w:rsid w:val="00415E36"/>
    <w:rsid w:val="00417661"/>
    <w:rsid w:val="004224C8"/>
    <w:rsid w:val="00422A9D"/>
    <w:rsid w:val="0042445C"/>
    <w:rsid w:val="00426662"/>
    <w:rsid w:val="00432FD8"/>
    <w:rsid w:val="004335DA"/>
    <w:rsid w:val="00435E24"/>
    <w:rsid w:val="00440792"/>
    <w:rsid w:val="004423CD"/>
    <w:rsid w:val="004444D3"/>
    <w:rsid w:val="00447E11"/>
    <w:rsid w:val="004500E9"/>
    <w:rsid w:val="00452DA5"/>
    <w:rsid w:val="00453ED8"/>
    <w:rsid w:val="004548DA"/>
    <w:rsid w:val="00454ACC"/>
    <w:rsid w:val="00454B5C"/>
    <w:rsid w:val="00455215"/>
    <w:rsid w:val="00460130"/>
    <w:rsid w:val="00460875"/>
    <w:rsid w:val="00461068"/>
    <w:rsid w:val="00463830"/>
    <w:rsid w:val="004706FD"/>
    <w:rsid w:val="004717CB"/>
    <w:rsid w:val="0048346C"/>
    <w:rsid w:val="00485912"/>
    <w:rsid w:val="004863AB"/>
    <w:rsid w:val="004901C8"/>
    <w:rsid w:val="00490BDF"/>
    <w:rsid w:val="0049122C"/>
    <w:rsid w:val="00492B91"/>
    <w:rsid w:val="00494A09"/>
    <w:rsid w:val="00494C1A"/>
    <w:rsid w:val="0049551C"/>
    <w:rsid w:val="00497155"/>
    <w:rsid w:val="00497F52"/>
    <w:rsid w:val="004A11DF"/>
    <w:rsid w:val="004A6869"/>
    <w:rsid w:val="004A68F3"/>
    <w:rsid w:val="004B0B03"/>
    <w:rsid w:val="004B2C59"/>
    <w:rsid w:val="004B2EBE"/>
    <w:rsid w:val="004B37B7"/>
    <w:rsid w:val="004B67E8"/>
    <w:rsid w:val="004B7EF1"/>
    <w:rsid w:val="004C0A47"/>
    <w:rsid w:val="004C25B5"/>
    <w:rsid w:val="004C3DB2"/>
    <w:rsid w:val="004C4755"/>
    <w:rsid w:val="004C522D"/>
    <w:rsid w:val="004C6635"/>
    <w:rsid w:val="004C7CFF"/>
    <w:rsid w:val="004C7D0D"/>
    <w:rsid w:val="004D2AEB"/>
    <w:rsid w:val="004E2B0D"/>
    <w:rsid w:val="004E2BA3"/>
    <w:rsid w:val="004E7110"/>
    <w:rsid w:val="004F5825"/>
    <w:rsid w:val="00505ED8"/>
    <w:rsid w:val="00506E3F"/>
    <w:rsid w:val="005073DE"/>
    <w:rsid w:val="00513C50"/>
    <w:rsid w:val="00515CE0"/>
    <w:rsid w:val="005176C9"/>
    <w:rsid w:val="00522008"/>
    <w:rsid w:val="0052388B"/>
    <w:rsid w:val="005239DE"/>
    <w:rsid w:val="005252C4"/>
    <w:rsid w:val="0053100F"/>
    <w:rsid w:val="00536756"/>
    <w:rsid w:val="00537687"/>
    <w:rsid w:val="005402A6"/>
    <w:rsid w:val="00541947"/>
    <w:rsid w:val="00542F9D"/>
    <w:rsid w:val="005470D2"/>
    <w:rsid w:val="00555673"/>
    <w:rsid w:val="005573DC"/>
    <w:rsid w:val="005575F9"/>
    <w:rsid w:val="0056187E"/>
    <w:rsid w:val="005624B8"/>
    <w:rsid w:val="005626E9"/>
    <w:rsid w:val="005632E4"/>
    <w:rsid w:val="00566AE7"/>
    <w:rsid w:val="00566F44"/>
    <w:rsid w:val="00567668"/>
    <w:rsid w:val="00570EDB"/>
    <w:rsid w:val="00576F9C"/>
    <w:rsid w:val="00580F6E"/>
    <w:rsid w:val="0058559B"/>
    <w:rsid w:val="00586737"/>
    <w:rsid w:val="00586BEA"/>
    <w:rsid w:val="00586E50"/>
    <w:rsid w:val="00587A30"/>
    <w:rsid w:val="00591F36"/>
    <w:rsid w:val="00592F2B"/>
    <w:rsid w:val="00594AD5"/>
    <w:rsid w:val="00595445"/>
    <w:rsid w:val="00595AD1"/>
    <w:rsid w:val="00596096"/>
    <w:rsid w:val="00597867"/>
    <w:rsid w:val="005A29E1"/>
    <w:rsid w:val="005A2DFD"/>
    <w:rsid w:val="005A44B0"/>
    <w:rsid w:val="005A7578"/>
    <w:rsid w:val="005B0B47"/>
    <w:rsid w:val="005B1156"/>
    <w:rsid w:val="005B30AB"/>
    <w:rsid w:val="005B421F"/>
    <w:rsid w:val="005B4EF6"/>
    <w:rsid w:val="005B5F37"/>
    <w:rsid w:val="005B611F"/>
    <w:rsid w:val="005B75AD"/>
    <w:rsid w:val="005C3739"/>
    <w:rsid w:val="005D0175"/>
    <w:rsid w:val="005D2D18"/>
    <w:rsid w:val="005D5F3D"/>
    <w:rsid w:val="005D6A72"/>
    <w:rsid w:val="005E1198"/>
    <w:rsid w:val="005E1529"/>
    <w:rsid w:val="005E41AA"/>
    <w:rsid w:val="005E5C13"/>
    <w:rsid w:val="005E71F1"/>
    <w:rsid w:val="005E76CA"/>
    <w:rsid w:val="005F1209"/>
    <w:rsid w:val="005F1597"/>
    <w:rsid w:val="005F764F"/>
    <w:rsid w:val="005F7C56"/>
    <w:rsid w:val="005F7F93"/>
    <w:rsid w:val="00600D36"/>
    <w:rsid w:val="00600E6C"/>
    <w:rsid w:val="00603619"/>
    <w:rsid w:val="00604C9E"/>
    <w:rsid w:val="00606C14"/>
    <w:rsid w:val="00614E7C"/>
    <w:rsid w:val="00615869"/>
    <w:rsid w:val="00615A4A"/>
    <w:rsid w:val="00616234"/>
    <w:rsid w:val="00616AF8"/>
    <w:rsid w:val="00620770"/>
    <w:rsid w:val="006213DE"/>
    <w:rsid w:val="00623706"/>
    <w:rsid w:val="00624568"/>
    <w:rsid w:val="00632CA5"/>
    <w:rsid w:val="00632E5A"/>
    <w:rsid w:val="006342E7"/>
    <w:rsid w:val="00640A02"/>
    <w:rsid w:val="00641212"/>
    <w:rsid w:val="00641B36"/>
    <w:rsid w:val="0064593E"/>
    <w:rsid w:val="00646D14"/>
    <w:rsid w:val="0065357C"/>
    <w:rsid w:val="00653E7A"/>
    <w:rsid w:val="00656AF6"/>
    <w:rsid w:val="006605CD"/>
    <w:rsid w:val="0066182C"/>
    <w:rsid w:val="00666434"/>
    <w:rsid w:val="00667F20"/>
    <w:rsid w:val="00671325"/>
    <w:rsid w:val="00671C6C"/>
    <w:rsid w:val="00674A41"/>
    <w:rsid w:val="00675613"/>
    <w:rsid w:val="006772D1"/>
    <w:rsid w:val="006849D8"/>
    <w:rsid w:val="006858FA"/>
    <w:rsid w:val="006868E2"/>
    <w:rsid w:val="006904B7"/>
    <w:rsid w:val="0069090F"/>
    <w:rsid w:val="006931E2"/>
    <w:rsid w:val="006965C0"/>
    <w:rsid w:val="006A302B"/>
    <w:rsid w:val="006A3D38"/>
    <w:rsid w:val="006A4E93"/>
    <w:rsid w:val="006A5183"/>
    <w:rsid w:val="006A6EA9"/>
    <w:rsid w:val="006B30C5"/>
    <w:rsid w:val="006B4926"/>
    <w:rsid w:val="006B5D11"/>
    <w:rsid w:val="006C00E9"/>
    <w:rsid w:val="006C082B"/>
    <w:rsid w:val="006C310C"/>
    <w:rsid w:val="006C31BF"/>
    <w:rsid w:val="006C346C"/>
    <w:rsid w:val="006C6CD4"/>
    <w:rsid w:val="006C707E"/>
    <w:rsid w:val="006C7CE2"/>
    <w:rsid w:val="006C7F8D"/>
    <w:rsid w:val="006D2ED1"/>
    <w:rsid w:val="006D558B"/>
    <w:rsid w:val="006D6EC0"/>
    <w:rsid w:val="006D7FAF"/>
    <w:rsid w:val="006E04E4"/>
    <w:rsid w:val="006E06E4"/>
    <w:rsid w:val="006E3C4C"/>
    <w:rsid w:val="006E418F"/>
    <w:rsid w:val="006E440E"/>
    <w:rsid w:val="006E6155"/>
    <w:rsid w:val="006E62D1"/>
    <w:rsid w:val="006F55D0"/>
    <w:rsid w:val="006F6A6F"/>
    <w:rsid w:val="00703486"/>
    <w:rsid w:val="007043B7"/>
    <w:rsid w:val="00705A2B"/>
    <w:rsid w:val="007136CA"/>
    <w:rsid w:val="007139B5"/>
    <w:rsid w:val="00714429"/>
    <w:rsid w:val="007149D3"/>
    <w:rsid w:val="00716368"/>
    <w:rsid w:val="00716C99"/>
    <w:rsid w:val="00727E81"/>
    <w:rsid w:val="00730C8F"/>
    <w:rsid w:val="00732CD6"/>
    <w:rsid w:val="00735743"/>
    <w:rsid w:val="00736F43"/>
    <w:rsid w:val="00740589"/>
    <w:rsid w:val="00741E70"/>
    <w:rsid w:val="007444F9"/>
    <w:rsid w:val="00744646"/>
    <w:rsid w:val="00744D63"/>
    <w:rsid w:val="00744D84"/>
    <w:rsid w:val="0074559A"/>
    <w:rsid w:val="007462D5"/>
    <w:rsid w:val="00747412"/>
    <w:rsid w:val="00747812"/>
    <w:rsid w:val="00750605"/>
    <w:rsid w:val="007506C7"/>
    <w:rsid w:val="007523FA"/>
    <w:rsid w:val="00756FE0"/>
    <w:rsid w:val="0076243D"/>
    <w:rsid w:val="0076249A"/>
    <w:rsid w:val="00764F9D"/>
    <w:rsid w:val="0076598D"/>
    <w:rsid w:val="007671FF"/>
    <w:rsid w:val="00767676"/>
    <w:rsid w:val="007700BA"/>
    <w:rsid w:val="007744AD"/>
    <w:rsid w:val="00775036"/>
    <w:rsid w:val="007753C5"/>
    <w:rsid w:val="00775FFF"/>
    <w:rsid w:val="007760EB"/>
    <w:rsid w:val="00776E14"/>
    <w:rsid w:val="00777503"/>
    <w:rsid w:val="00781A2E"/>
    <w:rsid w:val="00782CD9"/>
    <w:rsid w:val="007846DC"/>
    <w:rsid w:val="007849C7"/>
    <w:rsid w:val="00784C8B"/>
    <w:rsid w:val="007947A8"/>
    <w:rsid w:val="00795ABB"/>
    <w:rsid w:val="0079673A"/>
    <w:rsid w:val="00796FF9"/>
    <w:rsid w:val="007A13FD"/>
    <w:rsid w:val="007A17DE"/>
    <w:rsid w:val="007A2732"/>
    <w:rsid w:val="007A32F1"/>
    <w:rsid w:val="007A3A04"/>
    <w:rsid w:val="007A4998"/>
    <w:rsid w:val="007A60DF"/>
    <w:rsid w:val="007A75FC"/>
    <w:rsid w:val="007B1616"/>
    <w:rsid w:val="007B7D1B"/>
    <w:rsid w:val="007C5C75"/>
    <w:rsid w:val="007C610B"/>
    <w:rsid w:val="007D0293"/>
    <w:rsid w:val="007D13CD"/>
    <w:rsid w:val="007D1491"/>
    <w:rsid w:val="007D2A39"/>
    <w:rsid w:val="007E0286"/>
    <w:rsid w:val="007E3560"/>
    <w:rsid w:val="007E3EE6"/>
    <w:rsid w:val="007F2EBA"/>
    <w:rsid w:val="007F3EEA"/>
    <w:rsid w:val="007F43EB"/>
    <w:rsid w:val="007F4488"/>
    <w:rsid w:val="007F4FE8"/>
    <w:rsid w:val="00800AE7"/>
    <w:rsid w:val="00805B00"/>
    <w:rsid w:val="00807928"/>
    <w:rsid w:val="00807C5F"/>
    <w:rsid w:val="00810E44"/>
    <w:rsid w:val="00811B37"/>
    <w:rsid w:val="008155A1"/>
    <w:rsid w:val="00816DF8"/>
    <w:rsid w:val="00817021"/>
    <w:rsid w:val="0081767E"/>
    <w:rsid w:val="0082129E"/>
    <w:rsid w:val="008233F8"/>
    <w:rsid w:val="0082494E"/>
    <w:rsid w:val="00826114"/>
    <w:rsid w:val="00827856"/>
    <w:rsid w:val="0083449F"/>
    <w:rsid w:val="008369D9"/>
    <w:rsid w:val="00837A25"/>
    <w:rsid w:val="00837BC7"/>
    <w:rsid w:val="008424D6"/>
    <w:rsid w:val="00845B0B"/>
    <w:rsid w:val="0084661E"/>
    <w:rsid w:val="008531AA"/>
    <w:rsid w:val="00853238"/>
    <w:rsid w:val="0085405F"/>
    <w:rsid w:val="00855F6C"/>
    <w:rsid w:val="00857245"/>
    <w:rsid w:val="00861B15"/>
    <w:rsid w:val="008627D3"/>
    <w:rsid w:val="00862974"/>
    <w:rsid w:val="00863395"/>
    <w:rsid w:val="0086761A"/>
    <w:rsid w:val="00870616"/>
    <w:rsid w:val="008712C9"/>
    <w:rsid w:val="00871833"/>
    <w:rsid w:val="008727DE"/>
    <w:rsid w:val="00872949"/>
    <w:rsid w:val="00873437"/>
    <w:rsid w:val="00873EEE"/>
    <w:rsid w:val="00875BA8"/>
    <w:rsid w:val="00875D3D"/>
    <w:rsid w:val="008826CE"/>
    <w:rsid w:val="0088316A"/>
    <w:rsid w:val="008831EC"/>
    <w:rsid w:val="008834F1"/>
    <w:rsid w:val="008848EB"/>
    <w:rsid w:val="00884A90"/>
    <w:rsid w:val="00890836"/>
    <w:rsid w:val="0089354F"/>
    <w:rsid w:val="00894543"/>
    <w:rsid w:val="008947CE"/>
    <w:rsid w:val="0089679E"/>
    <w:rsid w:val="008A0264"/>
    <w:rsid w:val="008A22B6"/>
    <w:rsid w:val="008A233B"/>
    <w:rsid w:val="008A2A57"/>
    <w:rsid w:val="008A42DD"/>
    <w:rsid w:val="008A68A6"/>
    <w:rsid w:val="008A7C2E"/>
    <w:rsid w:val="008B24F1"/>
    <w:rsid w:val="008B4D2A"/>
    <w:rsid w:val="008B5F72"/>
    <w:rsid w:val="008C1253"/>
    <w:rsid w:val="008C2591"/>
    <w:rsid w:val="008C6E41"/>
    <w:rsid w:val="008D16B8"/>
    <w:rsid w:val="008D22F8"/>
    <w:rsid w:val="008D49B9"/>
    <w:rsid w:val="008E0286"/>
    <w:rsid w:val="008E079D"/>
    <w:rsid w:val="008E2BD5"/>
    <w:rsid w:val="008E4017"/>
    <w:rsid w:val="008E4359"/>
    <w:rsid w:val="008F2791"/>
    <w:rsid w:val="008F4AFC"/>
    <w:rsid w:val="008F68C7"/>
    <w:rsid w:val="00900410"/>
    <w:rsid w:val="009004A6"/>
    <w:rsid w:val="009040F1"/>
    <w:rsid w:val="00910983"/>
    <w:rsid w:val="009121FC"/>
    <w:rsid w:val="0091396E"/>
    <w:rsid w:val="00913BD1"/>
    <w:rsid w:val="0091471F"/>
    <w:rsid w:val="00914AB3"/>
    <w:rsid w:val="009156D7"/>
    <w:rsid w:val="009236BA"/>
    <w:rsid w:val="00923748"/>
    <w:rsid w:val="009327FE"/>
    <w:rsid w:val="00934A5E"/>
    <w:rsid w:val="00934A5F"/>
    <w:rsid w:val="0094692F"/>
    <w:rsid w:val="00947472"/>
    <w:rsid w:val="00950D03"/>
    <w:rsid w:val="00954283"/>
    <w:rsid w:val="009566A4"/>
    <w:rsid w:val="009566E9"/>
    <w:rsid w:val="00957F68"/>
    <w:rsid w:val="00960309"/>
    <w:rsid w:val="00962F95"/>
    <w:rsid w:val="0096524A"/>
    <w:rsid w:val="009656F3"/>
    <w:rsid w:val="00966892"/>
    <w:rsid w:val="009671C2"/>
    <w:rsid w:val="009703E1"/>
    <w:rsid w:val="00972D23"/>
    <w:rsid w:val="0098030B"/>
    <w:rsid w:val="00983872"/>
    <w:rsid w:val="00985800"/>
    <w:rsid w:val="0098648B"/>
    <w:rsid w:val="009867C0"/>
    <w:rsid w:val="009918EB"/>
    <w:rsid w:val="0099284D"/>
    <w:rsid w:val="0099379E"/>
    <w:rsid w:val="00993D20"/>
    <w:rsid w:val="00993EBC"/>
    <w:rsid w:val="00994C90"/>
    <w:rsid w:val="009A0154"/>
    <w:rsid w:val="009A4826"/>
    <w:rsid w:val="009A708F"/>
    <w:rsid w:val="009A794B"/>
    <w:rsid w:val="009B078D"/>
    <w:rsid w:val="009B0F04"/>
    <w:rsid w:val="009B462D"/>
    <w:rsid w:val="009B4DD3"/>
    <w:rsid w:val="009B5063"/>
    <w:rsid w:val="009B5163"/>
    <w:rsid w:val="009B53E0"/>
    <w:rsid w:val="009C0C0A"/>
    <w:rsid w:val="009C23A9"/>
    <w:rsid w:val="009C3878"/>
    <w:rsid w:val="009C50B6"/>
    <w:rsid w:val="009C68AF"/>
    <w:rsid w:val="009C71D7"/>
    <w:rsid w:val="009D5E92"/>
    <w:rsid w:val="009D6B59"/>
    <w:rsid w:val="009D7CBE"/>
    <w:rsid w:val="009D7F84"/>
    <w:rsid w:val="009E530A"/>
    <w:rsid w:val="009E78AA"/>
    <w:rsid w:val="009F00EB"/>
    <w:rsid w:val="009F1A03"/>
    <w:rsid w:val="009F220E"/>
    <w:rsid w:val="009F2656"/>
    <w:rsid w:val="009F3BA5"/>
    <w:rsid w:val="009F3F85"/>
    <w:rsid w:val="009F4AB0"/>
    <w:rsid w:val="009F4FDE"/>
    <w:rsid w:val="009F5D9E"/>
    <w:rsid w:val="009F7B6D"/>
    <w:rsid w:val="00A0113F"/>
    <w:rsid w:val="00A053C6"/>
    <w:rsid w:val="00A069C6"/>
    <w:rsid w:val="00A1441D"/>
    <w:rsid w:val="00A14EB6"/>
    <w:rsid w:val="00A15D1F"/>
    <w:rsid w:val="00A20011"/>
    <w:rsid w:val="00A331C2"/>
    <w:rsid w:val="00A33FC1"/>
    <w:rsid w:val="00A36171"/>
    <w:rsid w:val="00A37001"/>
    <w:rsid w:val="00A417D2"/>
    <w:rsid w:val="00A44FD6"/>
    <w:rsid w:val="00A466B0"/>
    <w:rsid w:val="00A4688F"/>
    <w:rsid w:val="00A46FEB"/>
    <w:rsid w:val="00A47B18"/>
    <w:rsid w:val="00A50164"/>
    <w:rsid w:val="00A50DFD"/>
    <w:rsid w:val="00A50E47"/>
    <w:rsid w:val="00A51DAF"/>
    <w:rsid w:val="00A51EA7"/>
    <w:rsid w:val="00A52B50"/>
    <w:rsid w:val="00A53B39"/>
    <w:rsid w:val="00A53C69"/>
    <w:rsid w:val="00A54F5B"/>
    <w:rsid w:val="00A56CF2"/>
    <w:rsid w:val="00A60572"/>
    <w:rsid w:val="00A60CEC"/>
    <w:rsid w:val="00A61CB8"/>
    <w:rsid w:val="00A65906"/>
    <w:rsid w:val="00A66BC7"/>
    <w:rsid w:val="00A66F60"/>
    <w:rsid w:val="00A7098C"/>
    <w:rsid w:val="00A762FF"/>
    <w:rsid w:val="00A84E7B"/>
    <w:rsid w:val="00A8687A"/>
    <w:rsid w:val="00AB0C41"/>
    <w:rsid w:val="00AB1548"/>
    <w:rsid w:val="00AB6B36"/>
    <w:rsid w:val="00AC475C"/>
    <w:rsid w:val="00AC4CD5"/>
    <w:rsid w:val="00AD1BA4"/>
    <w:rsid w:val="00AD2A81"/>
    <w:rsid w:val="00AD3DAB"/>
    <w:rsid w:val="00AD5290"/>
    <w:rsid w:val="00AD64B7"/>
    <w:rsid w:val="00AE035C"/>
    <w:rsid w:val="00AE066E"/>
    <w:rsid w:val="00AE32DE"/>
    <w:rsid w:val="00AE3631"/>
    <w:rsid w:val="00AE443F"/>
    <w:rsid w:val="00AE542F"/>
    <w:rsid w:val="00AE6D9F"/>
    <w:rsid w:val="00AF142F"/>
    <w:rsid w:val="00AF1E0E"/>
    <w:rsid w:val="00AF5D2C"/>
    <w:rsid w:val="00B05D84"/>
    <w:rsid w:val="00B05EEB"/>
    <w:rsid w:val="00B06C00"/>
    <w:rsid w:val="00B07711"/>
    <w:rsid w:val="00B10715"/>
    <w:rsid w:val="00B113D8"/>
    <w:rsid w:val="00B12A73"/>
    <w:rsid w:val="00B14136"/>
    <w:rsid w:val="00B213C3"/>
    <w:rsid w:val="00B22C6D"/>
    <w:rsid w:val="00B24A92"/>
    <w:rsid w:val="00B24B84"/>
    <w:rsid w:val="00B27811"/>
    <w:rsid w:val="00B27C2F"/>
    <w:rsid w:val="00B308E9"/>
    <w:rsid w:val="00B33329"/>
    <w:rsid w:val="00B36A57"/>
    <w:rsid w:val="00B37E2C"/>
    <w:rsid w:val="00B427B9"/>
    <w:rsid w:val="00B4631B"/>
    <w:rsid w:val="00B52EA0"/>
    <w:rsid w:val="00B565EE"/>
    <w:rsid w:val="00B61808"/>
    <w:rsid w:val="00B67541"/>
    <w:rsid w:val="00B7028F"/>
    <w:rsid w:val="00B70C5F"/>
    <w:rsid w:val="00B80C50"/>
    <w:rsid w:val="00B81B64"/>
    <w:rsid w:val="00B84C3D"/>
    <w:rsid w:val="00B84D0E"/>
    <w:rsid w:val="00B851E6"/>
    <w:rsid w:val="00B85F95"/>
    <w:rsid w:val="00B86532"/>
    <w:rsid w:val="00B87FD7"/>
    <w:rsid w:val="00B9427A"/>
    <w:rsid w:val="00B96506"/>
    <w:rsid w:val="00BA0B00"/>
    <w:rsid w:val="00BA2170"/>
    <w:rsid w:val="00BA658D"/>
    <w:rsid w:val="00BA7489"/>
    <w:rsid w:val="00BB0453"/>
    <w:rsid w:val="00BB6322"/>
    <w:rsid w:val="00BB683F"/>
    <w:rsid w:val="00BC45D4"/>
    <w:rsid w:val="00BD36CD"/>
    <w:rsid w:val="00BD6027"/>
    <w:rsid w:val="00BE0098"/>
    <w:rsid w:val="00BE19ED"/>
    <w:rsid w:val="00BE303A"/>
    <w:rsid w:val="00BE33A7"/>
    <w:rsid w:val="00BE3F78"/>
    <w:rsid w:val="00BE5CED"/>
    <w:rsid w:val="00BF259E"/>
    <w:rsid w:val="00BF2FD1"/>
    <w:rsid w:val="00BF31A1"/>
    <w:rsid w:val="00BF4087"/>
    <w:rsid w:val="00BF46D2"/>
    <w:rsid w:val="00BF5595"/>
    <w:rsid w:val="00C025AA"/>
    <w:rsid w:val="00C02E04"/>
    <w:rsid w:val="00C104DD"/>
    <w:rsid w:val="00C109FD"/>
    <w:rsid w:val="00C17CF0"/>
    <w:rsid w:val="00C17D57"/>
    <w:rsid w:val="00C235FD"/>
    <w:rsid w:val="00C24B18"/>
    <w:rsid w:val="00C26B5C"/>
    <w:rsid w:val="00C30CA2"/>
    <w:rsid w:val="00C31A1E"/>
    <w:rsid w:val="00C344C3"/>
    <w:rsid w:val="00C35391"/>
    <w:rsid w:val="00C4403D"/>
    <w:rsid w:val="00C470B8"/>
    <w:rsid w:val="00C47354"/>
    <w:rsid w:val="00C533A4"/>
    <w:rsid w:val="00C60F79"/>
    <w:rsid w:val="00C62DA7"/>
    <w:rsid w:val="00C64D26"/>
    <w:rsid w:val="00C7091E"/>
    <w:rsid w:val="00C727AB"/>
    <w:rsid w:val="00C73408"/>
    <w:rsid w:val="00C7357E"/>
    <w:rsid w:val="00C767D2"/>
    <w:rsid w:val="00C831F7"/>
    <w:rsid w:val="00C86EDA"/>
    <w:rsid w:val="00C91F74"/>
    <w:rsid w:val="00C95669"/>
    <w:rsid w:val="00C96CD6"/>
    <w:rsid w:val="00CA1C86"/>
    <w:rsid w:val="00CA352C"/>
    <w:rsid w:val="00CA51D9"/>
    <w:rsid w:val="00CA5899"/>
    <w:rsid w:val="00CA6F42"/>
    <w:rsid w:val="00CB2150"/>
    <w:rsid w:val="00CB7420"/>
    <w:rsid w:val="00CC2F19"/>
    <w:rsid w:val="00CC2FB0"/>
    <w:rsid w:val="00CC3453"/>
    <w:rsid w:val="00CC48AA"/>
    <w:rsid w:val="00CC4CF5"/>
    <w:rsid w:val="00CC64A5"/>
    <w:rsid w:val="00CD1AB1"/>
    <w:rsid w:val="00CD277A"/>
    <w:rsid w:val="00CD332B"/>
    <w:rsid w:val="00CD490E"/>
    <w:rsid w:val="00CE4571"/>
    <w:rsid w:val="00CE45BA"/>
    <w:rsid w:val="00CE5236"/>
    <w:rsid w:val="00CE5D66"/>
    <w:rsid w:val="00CE6245"/>
    <w:rsid w:val="00CE6359"/>
    <w:rsid w:val="00CE6A93"/>
    <w:rsid w:val="00CF16B1"/>
    <w:rsid w:val="00CF2267"/>
    <w:rsid w:val="00CF3C58"/>
    <w:rsid w:val="00CF3CA4"/>
    <w:rsid w:val="00CF682B"/>
    <w:rsid w:val="00D010FD"/>
    <w:rsid w:val="00D015A2"/>
    <w:rsid w:val="00D05D6C"/>
    <w:rsid w:val="00D1112B"/>
    <w:rsid w:val="00D117CE"/>
    <w:rsid w:val="00D11F13"/>
    <w:rsid w:val="00D14067"/>
    <w:rsid w:val="00D16450"/>
    <w:rsid w:val="00D176A5"/>
    <w:rsid w:val="00D17D36"/>
    <w:rsid w:val="00D21769"/>
    <w:rsid w:val="00D23146"/>
    <w:rsid w:val="00D24A46"/>
    <w:rsid w:val="00D24BE6"/>
    <w:rsid w:val="00D351C5"/>
    <w:rsid w:val="00D36460"/>
    <w:rsid w:val="00D3727A"/>
    <w:rsid w:val="00D406CF"/>
    <w:rsid w:val="00D40735"/>
    <w:rsid w:val="00D40BA8"/>
    <w:rsid w:val="00D43276"/>
    <w:rsid w:val="00D45702"/>
    <w:rsid w:val="00D53EB4"/>
    <w:rsid w:val="00D54408"/>
    <w:rsid w:val="00D55EFD"/>
    <w:rsid w:val="00D5629C"/>
    <w:rsid w:val="00D562A3"/>
    <w:rsid w:val="00D61AE2"/>
    <w:rsid w:val="00D634C6"/>
    <w:rsid w:val="00D74066"/>
    <w:rsid w:val="00D823FD"/>
    <w:rsid w:val="00D824B9"/>
    <w:rsid w:val="00D83EC0"/>
    <w:rsid w:val="00D856F7"/>
    <w:rsid w:val="00D85D57"/>
    <w:rsid w:val="00D85DFD"/>
    <w:rsid w:val="00D87149"/>
    <w:rsid w:val="00D8790F"/>
    <w:rsid w:val="00D9543F"/>
    <w:rsid w:val="00DA07AE"/>
    <w:rsid w:val="00DA0F68"/>
    <w:rsid w:val="00DA5D73"/>
    <w:rsid w:val="00DB032D"/>
    <w:rsid w:val="00DB20E4"/>
    <w:rsid w:val="00DB2107"/>
    <w:rsid w:val="00DB2B78"/>
    <w:rsid w:val="00DB38FA"/>
    <w:rsid w:val="00DB6100"/>
    <w:rsid w:val="00DB6402"/>
    <w:rsid w:val="00DB66AB"/>
    <w:rsid w:val="00DC116F"/>
    <w:rsid w:val="00DC42E5"/>
    <w:rsid w:val="00DC51F1"/>
    <w:rsid w:val="00DC64C6"/>
    <w:rsid w:val="00DC6D0D"/>
    <w:rsid w:val="00DD3F17"/>
    <w:rsid w:val="00DD44E7"/>
    <w:rsid w:val="00DD67DE"/>
    <w:rsid w:val="00DE2010"/>
    <w:rsid w:val="00DE35F6"/>
    <w:rsid w:val="00DE3676"/>
    <w:rsid w:val="00DE473D"/>
    <w:rsid w:val="00DF061C"/>
    <w:rsid w:val="00DF07A7"/>
    <w:rsid w:val="00DF0F6D"/>
    <w:rsid w:val="00DF1486"/>
    <w:rsid w:val="00DF16A8"/>
    <w:rsid w:val="00DF29FC"/>
    <w:rsid w:val="00DF3A3A"/>
    <w:rsid w:val="00DF54F9"/>
    <w:rsid w:val="00E00711"/>
    <w:rsid w:val="00E03165"/>
    <w:rsid w:val="00E04818"/>
    <w:rsid w:val="00E04D9E"/>
    <w:rsid w:val="00E07D86"/>
    <w:rsid w:val="00E07EDE"/>
    <w:rsid w:val="00E11D84"/>
    <w:rsid w:val="00E14698"/>
    <w:rsid w:val="00E14FF3"/>
    <w:rsid w:val="00E17141"/>
    <w:rsid w:val="00E21E6C"/>
    <w:rsid w:val="00E26889"/>
    <w:rsid w:val="00E270A6"/>
    <w:rsid w:val="00E27229"/>
    <w:rsid w:val="00E2772C"/>
    <w:rsid w:val="00E27F87"/>
    <w:rsid w:val="00E34EAD"/>
    <w:rsid w:val="00E35896"/>
    <w:rsid w:val="00E36A79"/>
    <w:rsid w:val="00E375BC"/>
    <w:rsid w:val="00E37C69"/>
    <w:rsid w:val="00E401E6"/>
    <w:rsid w:val="00E40409"/>
    <w:rsid w:val="00E4456F"/>
    <w:rsid w:val="00E47A87"/>
    <w:rsid w:val="00E5106E"/>
    <w:rsid w:val="00E5460E"/>
    <w:rsid w:val="00E6141C"/>
    <w:rsid w:val="00E648FD"/>
    <w:rsid w:val="00E6704B"/>
    <w:rsid w:val="00E75A4F"/>
    <w:rsid w:val="00E76B86"/>
    <w:rsid w:val="00E81099"/>
    <w:rsid w:val="00E8175C"/>
    <w:rsid w:val="00E82B23"/>
    <w:rsid w:val="00E86671"/>
    <w:rsid w:val="00E87672"/>
    <w:rsid w:val="00E878CB"/>
    <w:rsid w:val="00E9216E"/>
    <w:rsid w:val="00E94BA8"/>
    <w:rsid w:val="00E9684F"/>
    <w:rsid w:val="00E96FF3"/>
    <w:rsid w:val="00E97C52"/>
    <w:rsid w:val="00EA0B37"/>
    <w:rsid w:val="00EA0CB6"/>
    <w:rsid w:val="00EA2038"/>
    <w:rsid w:val="00EA2FF0"/>
    <w:rsid w:val="00EA349A"/>
    <w:rsid w:val="00EA4931"/>
    <w:rsid w:val="00EA6B77"/>
    <w:rsid w:val="00EA7F5A"/>
    <w:rsid w:val="00EA7F5B"/>
    <w:rsid w:val="00EB360E"/>
    <w:rsid w:val="00EB5B56"/>
    <w:rsid w:val="00EB5FE4"/>
    <w:rsid w:val="00EB7927"/>
    <w:rsid w:val="00EC040D"/>
    <w:rsid w:val="00EC058E"/>
    <w:rsid w:val="00EC07CE"/>
    <w:rsid w:val="00EC42C0"/>
    <w:rsid w:val="00EC496B"/>
    <w:rsid w:val="00EC5082"/>
    <w:rsid w:val="00EC6015"/>
    <w:rsid w:val="00EC6CCB"/>
    <w:rsid w:val="00ED13EE"/>
    <w:rsid w:val="00ED3D32"/>
    <w:rsid w:val="00ED43D5"/>
    <w:rsid w:val="00EE05FC"/>
    <w:rsid w:val="00EE32D2"/>
    <w:rsid w:val="00EE3B28"/>
    <w:rsid w:val="00EE52A1"/>
    <w:rsid w:val="00EE616D"/>
    <w:rsid w:val="00EE7DBC"/>
    <w:rsid w:val="00EF1156"/>
    <w:rsid w:val="00EF2620"/>
    <w:rsid w:val="00EF3995"/>
    <w:rsid w:val="00EF6281"/>
    <w:rsid w:val="00F008AA"/>
    <w:rsid w:val="00F00928"/>
    <w:rsid w:val="00F038AB"/>
    <w:rsid w:val="00F043EA"/>
    <w:rsid w:val="00F10038"/>
    <w:rsid w:val="00F1789A"/>
    <w:rsid w:val="00F201A8"/>
    <w:rsid w:val="00F22730"/>
    <w:rsid w:val="00F22BDD"/>
    <w:rsid w:val="00F24505"/>
    <w:rsid w:val="00F268EE"/>
    <w:rsid w:val="00F270A3"/>
    <w:rsid w:val="00F30133"/>
    <w:rsid w:val="00F30DC3"/>
    <w:rsid w:val="00F31E28"/>
    <w:rsid w:val="00F3333D"/>
    <w:rsid w:val="00F34FFA"/>
    <w:rsid w:val="00F37472"/>
    <w:rsid w:val="00F40180"/>
    <w:rsid w:val="00F417A2"/>
    <w:rsid w:val="00F42759"/>
    <w:rsid w:val="00F44B43"/>
    <w:rsid w:val="00F4753F"/>
    <w:rsid w:val="00F4758F"/>
    <w:rsid w:val="00F51FFD"/>
    <w:rsid w:val="00F5358A"/>
    <w:rsid w:val="00F53DD0"/>
    <w:rsid w:val="00F54DE9"/>
    <w:rsid w:val="00F56630"/>
    <w:rsid w:val="00F569C3"/>
    <w:rsid w:val="00F56E15"/>
    <w:rsid w:val="00F60747"/>
    <w:rsid w:val="00F62E6C"/>
    <w:rsid w:val="00F635D6"/>
    <w:rsid w:val="00F641B8"/>
    <w:rsid w:val="00F66EA4"/>
    <w:rsid w:val="00F6789C"/>
    <w:rsid w:val="00F7373A"/>
    <w:rsid w:val="00F746A3"/>
    <w:rsid w:val="00F74E4C"/>
    <w:rsid w:val="00F75AE2"/>
    <w:rsid w:val="00F76BF0"/>
    <w:rsid w:val="00F76D18"/>
    <w:rsid w:val="00F76EFA"/>
    <w:rsid w:val="00F80CCF"/>
    <w:rsid w:val="00F81FAF"/>
    <w:rsid w:val="00F841AB"/>
    <w:rsid w:val="00F858C4"/>
    <w:rsid w:val="00F86A22"/>
    <w:rsid w:val="00F87152"/>
    <w:rsid w:val="00F874D5"/>
    <w:rsid w:val="00F90072"/>
    <w:rsid w:val="00F93302"/>
    <w:rsid w:val="00F944ED"/>
    <w:rsid w:val="00F9676B"/>
    <w:rsid w:val="00FA0FC5"/>
    <w:rsid w:val="00FA60AD"/>
    <w:rsid w:val="00FA7753"/>
    <w:rsid w:val="00FB0A07"/>
    <w:rsid w:val="00FB1319"/>
    <w:rsid w:val="00FB15FC"/>
    <w:rsid w:val="00FB1826"/>
    <w:rsid w:val="00FB2452"/>
    <w:rsid w:val="00FB7DA3"/>
    <w:rsid w:val="00FC06DE"/>
    <w:rsid w:val="00FC2301"/>
    <w:rsid w:val="00FC7C2A"/>
    <w:rsid w:val="00FD1314"/>
    <w:rsid w:val="00FD1D1A"/>
    <w:rsid w:val="00FD49FE"/>
    <w:rsid w:val="00FD54E8"/>
    <w:rsid w:val="00FD56BE"/>
    <w:rsid w:val="00FD76A1"/>
    <w:rsid w:val="00FD7D0A"/>
    <w:rsid w:val="00FE127B"/>
    <w:rsid w:val="00FE1FC7"/>
    <w:rsid w:val="00FE1FEA"/>
    <w:rsid w:val="00FE2A38"/>
    <w:rsid w:val="00FE4904"/>
    <w:rsid w:val="00FE7AB2"/>
    <w:rsid w:val="00FF1886"/>
    <w:rsid w:val="00FF1F2C"/>
    <w:rsid w:val="00FF3174"/>
    <w:rsid w:val="00FF45AE"/>
    <w:rsid w:val="00FF78E7"/>
    <w:rsid w:val="00FF7A3C"/>
    <w:rsid w:val="0375205D"/>
    <w:rsid w:val="07327EAB"/>
    <w:rsid w:val="0A733C0C"/>
    <w:rsid w:val="0C202234"/>
    <w:rsid w:val="16B81388"/>
    <w:rsid w:val="176332B5"/>
    <w:rsid w:val="180F4F27"/>
    <w:rsid w:val="1A0F2B4D"/>
    <w:rsid w:val="1D9B27DC"/>
    <w:rsid w:val="1FA34191"/>
    <w:rsid w:val="2A1F424A"/>
    <w:rsid w:val="32210041"/>
    <w:rsid w:val="337514A9"/>
    <w:rsid w:val="3C406B3A"/>
    <w:rsid w:val="3D5E7061"/>
    <w:rsid w:val="3FCB7A2B"/>
    <w:rsid w:val="40FF3383"/>
    <w:rsid w:val="429E4682"/>
    <w:rsid w:val="4622488A"/>
    <w:rsid w:val="474E5F64"/>
    <w:rsid w:val="4AEB5F4F"/>
    <w:rsid w:val="4B204C28"/>
    <w:rsid w:val="570464BC"/>
    <w:rsid w:val="57A42F2A"/>
    <w:rsid w:val="5CB65CBF"/>
    <w:rsid w:val="65071386"/>
    <w:rsid w:val="6CC23DB3"/>
    <w:rsid w:val="70C91769"/>
    <w:rsid w:val="711039D0"/>
    <w:rsid w:val="73B27169"/>
    <w:rsid w:val="7BAE32EB"/>
    <w:rsid w:val="7DED73D2"/>
    <w:rsid w:val="7E553486"/>
    <w:rsid w:val="7EAC32F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9"/>
    <w:semiHidden/>
    <w:unhideWhenUsed/>
    <w:qFormat/>
    <w:uiPriority w:val="99"/>
    <w:pPr>
      <w:tabs>
        <w:tab w:val="center" w:pos="4153"/>
        <w:tab w:val="right" w:pos="8306"/>
      </w:tabs>
      <w:snapToGrid w:val="0"/>
      <w:jc w:val="left"/>
    </w:pPr>
    <w:rPr>
      <w:sz w:val="18"/>
      <w:szCs w:val="18"/>
    </w:rPr>
  </w:style>
  <w:style w:type="paragraph" w:styleId="4">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99"/>
    <w:pPr>
      <w:widowControl/>
      <w:spacing w:before="100" w:beforeAutospacing="1" w:after="100" w:afterAutospacing="1"/>
      <w:jc w:val="left"/>
    </w:pPr>
    <w:rPr>
      <w:rFonts w:ascii="宋体" w:hAnsi="宋体" w:cs="宋体"/>
      <w:kern w:val="0"/>
      <w:sz w:val="24"/>
    </w:rPr>
  </w:style>
  <w:style w:type="character" w:customStyle="1" w:styleId="8">
    <w:name w:val="页眉 Char"/>
    <w:basedOn w:val="7"/>
    <w:link w:val="4"/>
    <w:semiHidden/>
    <w:qFormat/>
    <w:uiPriority w:val="99"/>
    <w:rPr>
      <w:rFonts w:ascii="Times New Roman" w:hAnsi="Times New Roman" w:eastAsia="宋体" w:cs="Times New Roman"/>
      <w:sz w:val="18"/>
      <w:szCs w:val="18"/>
    </w:rPr>
  </w:style>
  <w:style w:type="character" w:customStyle="1" w:styleId="9">
    <w:name w:val="页脚 Char"/>
    <w:basedOn w:val="7"/>
    <w:link w:val="3"/>
    <w:semiHidden/>
    <w:qFormat/>
    <w:uiPriority w:val="99"/>
    <w:rPr>
      <w:rFonts w:ascii="Times New Roman" w:hAnsi="Times New Roman" w:eastAsia="宋体" w:cs="Times New Roman"/>
      <w:sz w:val="18"/>
      <w:szCs w:val="18"/>
    </w:rPr>
  </w:style>
  <w:style w:type="character" w:customStyle="1" w:styleId="10">
    <w:name w:val="批注框文本 Char"/>
    <w:basedOn w:val="7"/>
    <w:link w:val="2"/>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3</Pages>
  <Words>291</Words>
  <Characters>1659</Characters>
  <Lines>13</Lines>
  <Paragraphs>3</Paragraphs>
  <TotalTime>0</TotalTime>
  <ScaleCrop>false</ScaleCrop>
  <LinksUpToDate>false</LinksUpToDate>
  <CharactersWithSpaces>1947</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2020-04-24T06:47:00Z</dcterms:created>
  <dc:creator>未定义</dc:creator>
  <cp:lastModifiedBy>xuxiaoqun /:sun</cp:lastModifiedBy>
  <cp:lastPrinted>2024-09-23T03:31:00Z</cp:lastPrinted>
  <dcterms:modified xsi:type="dcterms:W3CDTF">2025-11-19T06:01:32Z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C4D15825BEF949ECBC9A32A5F18276B2</vt:lpwstr>
  </property>
</Properties>
</file>