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12CD9">
      <w:pPr>
        <w:tabs>
          <w:tab w:val="left" w:pos="426"/>
        </w:tabs>
        <w:spacing w:line="380" w:lineRule="exact"/>
        <w:jc w:val="center"/>
        <w:rPr>
          <w:rFonts w:ascii="宋体" w:hAnsi="宋体"/>
          <w:b/>
          <w:sz w:val="32"/>
          <w:szCs w:val="32"/>
        </w:rPr>
      </w:pPr>
      <w:r>
        <w:rPr>
          <w:rFonts w:hint="eastAsia" w:ascii="宋体" w:hAnsi="宋体"/>
          <w:b/>
          <w:sz w:val="32"/>
          <w:szCs w:val="32"/>
        </w:rPr>
        <w:t>浙江富阳储备粮公开竞价采购粮油交割细则</w:t>
      </w:r>
    </w:p>
    <w:p w14:paraId="692C267F">
      <w:pPr>
        <w:spacing w:line="380" w:lineRule="exact"/>
        <w:jc w:val="center"/>
        <w:rPr>
          <w:rFonts w:ascii="宋体" w:hAnsi="宋体"/>
          <w:b/>
          <w:sz w:val="32"/>
          <w:szCs w:val="32"/>
        </w:rPr>
      </w:pPr>
      <w:r>
        <w:rPr>
          <w:rFonts w:hint="eastAsia" w:ascii="宋体" w:hAnsi="宋体"/>
          <w:b/>
          <w:sz w:val="32"/>
          <w:szCs w:val="32"/>
        </w:rPr>
        <w:t>（国粮浙交</w:t>
      </w:r>
      <w:r>
        <w:rPr>
          <w:rFonts w:ascii="宋体" w:hAnsi="宋体"/>
          <w:b/>
          <w:sz w:val="32"/>
          <w:szCs w:val="32"/>
        </w:rPr>
        <w:t>20</w:t>
      </w:r>
      <w:r>
        <w:rPr>
          <w:rFonts w:hint="eastAsia" w:ascii="宋体" w:hAnsi="宋体"/>
          <w:b/>
          <w:sz w:val="32"/>
          <w:szCs w:val="32"/>
        </w:rPr>
        <w:t>25第</w:t>
      </w:r>
      <w:r>
        <w:rPr>
          <w:rFonts w:hint="eastAsia" w:ascii="宋体" w:hAnsi="宋体"/>
          <w:b/>
          <w:sz w:val="32"/>
          <w:szCs w:val="32"/>
          <w:lang w:val="en-US" w:eastAsia="zh-CN"/>
        </w:rPr>
        <w:t>959</w:t>
      </w:r>
      <w:r>
        <w:rPr>
          <w:rFonts w:hint="eastAsia" w:ascii="宋体" w:hAnsi="宋体"/>
          <w:b/>
          <w:sz w:val="32"/>
          <w:szCs w:val="32"/>
        </w:rPr>
        <w:t>号）</w:t>
      </w:r>
    </w:p>
    <w:p w14:paraId="1D709348">
      <w:pPr>
        <w:tabs>
          <w:tab w:val="left" w:pos="426"/>
          <w:tab w:val="left" w:pos="709"/>
          <w:tab w:val="left" w:pos="993"/>
          <w:tab w:val="left" w:pos="1276"/>
        </w:tabs>
        <w:spacing w:line="380" w:lineRule="exact"/>
        <w:ind w:firstLine="480" w:firstLineChars="200"/>
        <w:rPr>
          <w:rFonts w:ascii="宋体" w:hAnsi="宋体"/>
          <w:sz w:val="24"/>
        </w:rPr>
      </w:pPr>
      <w:r>
        <w:rPr>
          <w:rFonts w:hint="eastAsia" w:ascii="宋体" w:hAnsi="宋体"/>
          <w:b/>
          <w:sz w:val="24"/>
        </w:rPr>
        <w:t>一、数量、质量及包装要求</w:t>
      </w:r>
      <w:r>
        <w:rPr>
          <w:rFonts w:hint="eastAsia" w:ascii="宋体" w:hAnsi="宋体"/>
          <w:sz w:val="24"/>
        </w:rPr>
        <w:t>：</w:t>
      </w:r>
    </w:p>
    <w:p w14:paraId="5FB112BA">
      <w:pPr>
        <w:tabs>
          <w:tab w:val="left" w:pos="426"/>
          <w:tab w:val="left" w:pos="709"/>
          <w:tab w:val="left" w:pos="993"/>
          <w:tab w:val="left" w:pos="1276"/>
        </w:tabs>
        <w:spacing w:line="380" w:lineRule="exact"/>
        <w:ind w:firstLine="480" w:firstLineChars="200"/>
        <w:rPr>
          <w:rFonts w:ascii="宋体" w:hAnsi="宋体"/>
          <w:color w:val="000000" w:themeColor="text1"/>
          <w:sz w:val="24"/>
        </w:rPr>
      </w:pPr>
      <w:r>
        <w:rPr>
          <w:rFonts w:hint="eastAsia" w:ascii="宋体" w:hAnsi="宋体"/>
          <w:color w:val="auto"/>
          <w:sz w:val="24"/>
        </w:rPr>
        <w:t>1、</w:t>
      </w:r>
      <w:r>
        <w:rPr>
          <w:rFonts w:hint="eastAsia" w:ascii="宋体" w:hAnsi="宋体" w:cs="宋体"/>
          <w:color w:val="auto"/>
          <w:kern w:val="0"/>
          <w:sz w:val="24"/>
          <w:szCs w:val="22"/>
        </w:rPr>
        <w:t>本次采购品种为：2025年</w:t>
      </w:r>
      <w:r>
        <w:rPr>
          <w:rFonts w:hint="eastAsia" w:ascii="宋体" w:hAnsi="宋体" w:cs="宋体"/>
          <w:color w:val="auto"/>
          <w:kern w:val="0"/>
          <w:sz w:val="24"/>
          <w:szCs w:val="22"/>
          <w:lang w:val="en-US" w:eastAsia="zh-CN"/>
        </w:rPr>
        <w:t>11</w:t>
      </w:r>
      <w:r>
        <w:rPr>
          <w:rFonts w:hint="eastAsia" w:ascii="宋体" w:hAnsi="宋体" w:cs="宋体"/>
          <w:color w:val="auto"/>
          <w:kern w:val="0"/>
          <w:sz w:val="24"/>
          <w:szCs w:val="22"/>
        </w:rPr>
        <w:t>月</w:t>
      </w:r>
      <w:r>
        <w:rPr>
          <w:rFonts w:hint="eastAsia" w:ascii="宋体" w:hAnsi="宋体" w:cs="宋体"/>
          <w:color w:val="auto"/>
          <w:kern w:val="0"/>
          <w:sz w:val="24"/>
          <w:szCs w:val="22"/>
          <w:lang w:val="en-US" w:eastAsia="zh-CN"/>
        </w:rPr>
        <w:t>25</w:t>
      </w:r>
      <w:r>
        <w:rPr>
          <w:rFonts w:hint="eastAsia" w:ascii="宋体" w:hAnsi="宋体" w:cs="宋体"/>
          <w:color w:val="auto"/>
          <w:kern w:val="0"/>
          <w:sz w:val="24"/>
          <w:szCs w:val="22"/>
        </w:rPr>
        <w:t>日以后生产的由2024年产</w:t>
      </w:r>
      <w:r>
        <w:rPr>
          <w:rFonts w:hint="eastAsia" w:ascii="宋体" w:hAnsi="宋体" w:cs="宋体"/>
          <w:color w:val="auto"/>
          <w:kern w:val="0"/>
          <w:sz w:val="24"/>
          <w:szCs w:val="22"/>
          <w:lang w:val="en-US" w:eastAsia="zh-CN"/>
        </w:rPr>
        <w:t>粳</w:t>
      </w:r>
      <w:r>
        <w:rPr>
          <w:rFonts w:hint="eastAsia" w:ascii="宋体" w:hAnsi="宋体" w:cs="宋体"/>
          <w:color w:val="auto"/>
          <w:kern w:val="0"/>
          <w:sz w:val="24"/>
          <w:szCs w:val="22"/>
        </w:rPr>
        <w:t>稻谷加工成的</w:t>
      </w:r>
      <w:r>
        <w:rPr>
          <w:rFonts w:hint="eastAsia" w:ascii="宋体" w:hAnsi="宋体" w:cs="宋体"/>
          <w:color w:val="auto"/>
          <w:kern w:val="0"/>
          <w:sz w:val="24"/>
          <w:szCs w:val="22"/>
          <w:lang w:val="en-US" w:eastAsia="zh-CN"/>
        </w:rPr>
        <w:t>粳</w:t>
      </w:r>
      <w:r>
        <w:rPr>
          <w:rFonts w:hint="eastAsia" w:ascii="宋体" w:hAnsi="宋体" w:cs="宋体"/>
          <w:color w:val="auto"/>
          <w:kern w:val="0"/>
          <w:sz w:val="24"/>
          <w:szCs w:val="22"/>
        </w:rPr>
        <w:t>米</w:t>
      </w:r>
      <w:r>
        <w:rPr>
          <w:rFonts w:hint="eastAsia" w:ascii="宋体" w:hAnsi="宋体" w:cs="宋体"/>
          <w:color w:val="auto"/>
          <w:kern w:val="0"/>
          <w:sz w:val="24"/>
          <w:szCs w:val="22"/>
          <w:lang w:val="en-US" w:eastAsia="zh-CN"/>
        </w:rPr>
        <w:t>145</w:t>
      </w:r>
      <w:r>
        <w:rPr>
          <w:rFonts w:hint="eastAsia" w:ascii="宋体" w:hAnsi="宋体" w:cs="宋体"/>
          <w:color w:val="auto"/>
          <w:kern w:val="0"/>
          <w:sz w:val="24"/>
          <w:szCs w:val="22"/>
        </w:rPr>
        <w:t>0吨</w:t>
      </w:r>
      <w:r>
        <w:rPr>
          <w:rFonts w:hint="eastAsia" w:ascii="宋体" w:hAnsi="宋体" w:cs="宋体"/>
          <w:color w:val="auto"/>
          <w:kern w:val="0"/>
          <w:sz w:val="24"/>
          <w:szCs w:val="22"/>
          <w:lang w:eastAsia="zh-CN"/>
        </w:rPr>
        <w:t>，</w:t>
      </w:r>
      <w:r>
        <w:rPr>
          <w:rFonts w:hint="eastAsia" w:ascii="宋体" w:hAnsi="宋体" w:cs="宋体"/>
          <w:color w:val="auto"/>
          <w:kern w:val="0"/>
          <w:sz w:val="24"/>
          <w:szCs w:val="22"/>
        </w:rPr>
        <w:t>产地不限，设</w:t>
      </w:r>
      <w:r>
        <w:rPr>
          <w:rFonts w:hint="eastAsia" w:ascii="宋体" w:hAnsi="宋体" w:cs="宋体"/>
          <w:color w:val="auto"/>
          <w:kern w:val="0"/>
          <w:sz w:val="24"/>
          <w:szCs w:val="22"/>
          <w:lang w:val="en-US" w:eastAsia="zh-CN"/>
        </w:rPr>
        <w:t>5</w:t>
      </w:r>
      <w:r>
        <w:rPr>
          <w:rFonts w:hint="eastAsia" w:ascii="宋体" w:hAnsi="宋体" w:cs="宋体"/>
          <w:color w:val="auto"/>
          <w:kern w:val="0"/>
          <w:sz w:val="24"/>
          <w:szCs w:val="22"/>
        </w:rPr>
        <w:t>个标段</w:t>
      </w:r>
      <w:r>
        <w:rPr>
          <w:rFonts w:hint="eastAsia" w:ascii="宋体" w:hAnsi="宋体" w:cs="宋体"/>
          <w:color w:val="auto"/>
          <w:kern w:val="0"/>
          <w:sz w:val="24"/>
        </w:rPr>
        <w:t>；</w:t>
      </w:r>
      <w:r>
        <w:rPr>
          <w:rFonts w:hint="eastAsia" w:ascii="宋体" w:hAnsi="宋体" w:cs="宋体"/>
          <w:color w:val="auto"/>
          <w:kern w:val="0"/>
          <w:sz w:val="24"/>
          <w:szCs w:val="22"/>
        </w:rPr>
        <w:t>要求同一标段同一粒型</w:t>
      </w:r>
      <w:r>
        <w:rPr>
          <w:rFonts w:hint="eastAsia" w:ascii="宋体" w:hAnsi="宋体" w:cs="宋体"/>
          <w:color w:val="auto"/>
          <w:kern w:val="0"/>
          <w:sz w:val="24"/>
        </w:rPr>
        <w:t>，</w:t>
      </w:r>
      <w:r>
        <w:rPr>
          <w:rFonts w:ascii="宋体" w:hAnsi="宋体" w:cs="宋体"/>
          <w:color w:val="auto"/>
          <w:kern w:val="0"/>
          <w:sz w:val="24"/>
        </w:rPr>
        <w:t>详见交易清单</w:t>
      </w:r>
      <w:r>
        <w:rPr>
          <w:rFonts w:hint="eastAsia" w:ascii="宋体" w:hAnsi="宋体" w:cs="宋体"/>
          <w:color w:val="auto"/>
          <w:kern w:val="0"/>
          <w:sz w:val="24"/>
        </w:rPr>
        <w:t>。</w:t>
      </w:r>
    </w:p>
    <w:p w14:paraId="6EF3B63E">
      <w:pPr>
        <w:widowControl/>
        <w:adjustRightInd w:val="0"/>
        <w:snapToGrid w:val="0"/>
        <w:spacing w:line="380" w:lineRule="exact"/>
        <w:jc w:val="left"/>
        <w:rPr>
          <w:rFonts w:ascii="宋体" w:hAnsi="宋体" w:cs="宋体"/>
          <w:color w:val="FF0000"/>
          <w:kern w:val="0"/>
          <w:sz w:val="24"/>
        </w:rPr>
      </w:pPr>
      <w:r>
        <w:rPr>
          <w:rFonts w:hint="eastAsia" w:ascii="宋体" w:hAnsi="宋体"/>
          <w:color w:val="000000" w:themeColor="text1"/>
          <w:sz w:val="24"/>
        </w:rPr>
        <w:t xml:space="preserve">    2、质量要求：</w:t>
      </w:r>
      <w:r>
        <w:rPr>
          <w:rFonts w:hint="eastAsia" w:ascii="宋体" w:hAnsi="宋体" w:cs="宋体"/>
          <w:color w:val="000000" w:themeColor="text1"/>
          <w:kern w:val="0"/>
          <w:sz w:val="24"/>
        </w:rPr>
        <w:t>符合</w:t>
      </w:r>
      <w:r>
        <w:rPr>
          <w:rFonts w:hint="eastAsia" w:ascii="宋体" w:hAnsi="宋体"/>
          <w:color w:val="000000" w:themeColor="text1"/>
          <w:kern w:val="0"/>
          <w:sz w:val="24"/>
        </w:rPr>
        <w:t>GB1354-2018大米</w:t>
      </w:r>
      <w:r>
        <w:rPr>
          <w:rFonts w:hint="eastAsia" w:ascii="宋体" w:hAnsi="宋体" w:cs="宋体"/>
          <w:color w:val="000000" w:themeColor="text1"/>
          <w:kern w:val="0"/>
          <w:sz w:val="24"/>
        </w:rPr>
        <w:t>二级标准及GB2715-2016食品国家安全标准（粮食）。</w:t>
      </w:r>
      <w:r>
        <w:rPr>
          <w:rFonts w:hint="eastAsia" w:ascii="宋体" w:hAnsi="宋体"/>
          <w:color w:val="000000" w:themeColor="text1"/>
          <w:sz w:val="24"/>
        </w:rPr>
        <w:t>发运粮食温度要求降到</w:t>
      </w:r>
      <w:r>
        <w:rPr>
          <w:rFonts w:hint="eastAsia" w:ascii="宋体" w:hAnsi="宋体"/>
          <w:b/>
          <w:bCs/>
          <w:color w:val="000000" w:themeColor="text1"/>
          <w:sz w:val="24"/>
        </w:rPr>
        <w:t>常温</w:t>
      </w:r>
      <w:r>
        <w:rPr>
          <w:rFonts w:hint="eastAsia" w:ascii="宋体" w:hAnsi="宋体"/>
          <w:color w:val="000000" w:themeColor="text1"/>
          <w:sz w:val="24"/>
        </w:rPr>
        <w:t>，</w:t>
      </w:r>
      <w:r>
        <w:rPr>
          <w:rFonts w:hint="eastAsia" w:ascii="宋体" w:hAnsi="宋体" w:cs="宋体"/>
          <w:color w:val="000000" w:themeColor="text1"/>
          <w:kern w:val="0"/>
          <w:sz w:val="24"/>
        </w:rPr>
        <w:t>要求水分≤</w:t>
      </w:r>
      <w:r>
        <w:rPr>
          <w:rFonts w:hint="eastAsia" w:ascii="宋体" w:hAnsi="宋体"/>
          <w:color w:val="FF0000"/>
          <w:kern w:val="0"/>
          <w:sz w:val="24"/>
        </w:rPr>
        <w:t>1</w:t>
      </w:r>
      <w:r>
        <w:rPr>
          <w:rFonts w:hint="eastAsia" w:ascii="宋体" w:hAnsi="宋体"/>
          <w:color w:val="FF0000"/>
          <w:kern w:val="0"/>
          <w:sz w:val="24"/>
          <w:lang w:val="en-US" w:eastAsia="zh-CN"/>
        </w:rPr>
        <w:t>4</w:t>
      </w:r>
      <w:r>
        <w:rPr>
          <w:rFonts w:hint="eastAsia" w:ascii="宋体" w:hAnsi="宋体"/>
          <w:color w:val="FF0000"/>
          <w:kern w:val="0"/>
          <w:sz w:val="24"/>
        </w:rPr>
        <w:t>.5</w:t>
      </w:r>
      <w:r>
        <w:rPr>
          <w:rFonts w:hint="eastAsia" w:ascii="宋体" w:hAnsi="宋体"/>
          <w:color w:val="000000" w:themeColor="text1"/>
          <w:kern w:val="0"/>
          <w:sz w:val="24"/>
        </w:rPr>
        <w:t>%，黄粒米≤0.5%，</w:t>
      </w:r>
      <w:r>
        <w:rPr>
          <w:rFonts w:hint="eastAsia" w:ascii="宋体" w:hAnsi="宋体" w:cs="宋体"/>
          <w:color w:val="000000" w:themeColor="text1"/>
          <w:kern w:val="0"/>
          <w:sz w:val="24"/>
        </w:rPr>
        <w:t>保质期为</w:t>
      </w:r>
      <w:r>
        <w:rPr>
          <w:rFonts w:hint="eastAsia" w:ascii="宋体" w:hAnsi="宋体"/>
          <w:color w:val="000000" w:themeColor="text1"/>
          <w:kern w:val="0"/>
          <w:sz w:val="24"/>
        </w:rPr>
        <w:t>18</w:t>
      </w:r>
      <w:r>
        <w:rPr>
          <w:rFonts w:hint="eastAsia" w:ascii="宋体" w:hAnsi="宋体" w:cs="宋体"/>
          <w:color w:val="000000" w:themeColor="text1"/>
          <w:kern w:val="0"/>
          <w:sz w:val="24"/>
        </w:rPr>
        <w:t>个月。</w:t>
      </w:r>
    </w:p>
    <w:p w14:paraId="1674D7B9">
      <w:pPr>
        <w:widowControl/>
        <w:adjustRightInd w:val="0"/>
        <w:snapToGrid w:val="0"/>
        <w:spacing w:line="380" w:lineRule="exact"/>
        <w:ind w:firstLine="480" w:firstLineChars="200"/>
        <w:jc w:val="left"/>
        <w:rPr>
          <w:rFonts w:ascii="宋体" w:hAnsi="宋体" w:cs="宋体"/>
          <w:kern w:val="0"/>
          <w:sz w:val="24"/>
        </w:rPr>
      </w:pPr>
      <w:r>
        <w:rPr>
          <w:rFonts w:hint="eastAsia" w:ascii="宋体" w:hAnsi="宋体"/>
          <w:sz w:val="24"/>
        </w:rPr>
        <w:t>3、</w:t>
      </w:r>
      <w:r>
        <w:rPr>
          <w:rFonts w:hint="eastAsia" w:ascii="宋体" w:hAnsi="宋体" w:cs="宋体"/>
          <w:kern w:val="0"/>
          <w:sz w:val="24"/>
        </w:rPr>
        <w:t>包装要求：25公斤编织袋包装，包装物不计价，皮重按0.1公斤/条计；包装物必须符合GB/T17109的要求，</w:t>
      </w:r>
      <w:r>
        <w:rPr>
          <w:rFonts w:hint="eastAsia" w:ascii="宋体" w:hAnsi="宋体" w:cs="宋体"/>
          <w:color w:val="FF0000"/>
          <w:kern w:val="0"/>
          <w:sz w:val="24"/>
        </w:rPr>
        <w:t>食品级透明，防滑、防霉；</w:t>
      </w:r>
      <w:r>
        <w:rPr>
          <w:rFonts w:hint="eastAsia" w:ascii="宋体" w:hAnsi="宋体" w:cs="宋体"/>
          <w:kern w:val="0"/>
          <w:sz w:val="24"/>
        </w:rPr>
        <w:t>不得使用废旧材料制成的编织袋，编织袋必须符合食品卫生要求；编织袋袋口必须缝合严密、标识必须符合国家食品包装、标签标准等有关规定，注明品种名称、等级、净含量、执行标准、生产日期、保质期、生产企业名称和地址等内容。具体包装尺寸、规格、注明内容等须统一，</w:t>
      </w:r>
      <w:r>
        <w:rPr>
          <w:rFonts w:hint="eastAsia" w:ascii="宋体" w:hAnsi="宋体" w:cs="宋体"/>
          <w:color w:val="FF0000"/>
          <w:kern w:val="0"/>
          <w:sz w:val="24"/>
        </w:rPr>
        <w:t>竞得单位名称必须和大米包装上生产单位名称相一致，</w:t>
      </w:r>
      <w:r>
        <w:rPr>
          <w:rFonts w:hint="eastAsia" w:ascii="宋体" w:hAnsi="宋体" w:cs="宋体"/>
          <w:kern w:val="0"/>
          <w:sz w:val="24"/>
        </w:rPr>
        <w:t>成交后经协商按委托方要求执行。</w:t>
      </w:r>
    </w:p>
    <w:p w14:paraId="18F585BF">
      <w:pPr>
        <w:spacing w:line="380" w:lineRule="exact"/>
        <w:ind w:firstLine="360" w:firstLineChars="150"/>
        <w:rPr>
          <w:rFonts w:ascii="宋体" w:hAnsi="宋体"/>
          <w:b/>
          <w:sz w:val="24"/>
        </w:rPr>
      </w:pPr>
      <w:r>
        <w:rPr>
          <w:rFonts w:hint="eastAsia" w:ascii="宋体" w:hAnsi="宋体"/>
          <w:b/>
          <w:sz w:val="24"/>
        </w:rPr>
        <w:t>二、交货时间、方式及验收地点：</w:t>
      </w:r>
    </w:p>
    <w:p w14:paraId="549B99DB">
      <w:pPr>
        <w:spacing w:line="380" w:lineRule="exact"/>
        <w:ind w:firstLine="480" w:firstLineChars="200"/>
        <w:rPr>
          <w:rFonts w:ascii="宋体" w:hAnsi="宋体"/>
          <w:color w:val="FF0000"/>
          <w:sz w:val="24"/>
        </w:rPr>
      </w:pPr>
      <w:r>
        <w:rPr>
          <w:rFonts w:hint="eastAsia" w:ascii="宋体" w:hAnsi="宋体" w:cs="宋体"/>
          <w:kern w:val="0"/>
          <w:sz w:val="24"/>
        </w:rPr>
        <w:t>1、</w:t>
      </w:r>
      <w:r>
        <w:rPr>
          <w:rFonts w:hint="eastAsia" w:ascii="宋体" w:hAnsi="宋体"/>
          <w:b/>
          <w:bCs/>
          <w:color w:val="FF0000"/>
          <w:sz w:val="24"/>
        </w:rPr>
        <w:t>交货时间：要求2025年</w:t>
      </w:r>
      <w:r>
        <w:rPr>
          <w:rFonts w:hint="eastAsia" w:ascii="宋体" w:hAnsi="宋体"/>
          <w:b/>
          <w:bCs/>
          <w:color w:val="FF0000"/>
          <w:sz w:val="24"/>
          <w:lang w:val="en-US" w:eastAsia="zh-CN"/>
        </w:rPr>
        <w:t>12</w:t>
      </w:r>
      <w:r>
        <w:rPr>
          <w:rFonts w:hint="eastAsia" w:ascii="宋体" w:hAnsi="宋体"/>
          <w:b/>
          <w:bCs/>
          <w:color w:val="FF0000"/>
          <w:sz w:val="24"/>
        </w:rPr>
        <w:t>月</w:t>
      </w:r>
      <w:r>
        <w:rPr>
          <w:rFonts w:hint="eastAsia" w:ascii="宋体" w:hAnsi="宋体"/>
          <w:b/>
          <w:bCs/>
          <w:color w:val="FF0000"/>
          <w:sz w:val="24"/>
          <w:lang w:val="en-US" w:eastAsia="zh-CN"/>
        </w:rPr>
        <w:t>12</w:t>
      </w:r>
      <w:r>
        <w:rPr>
          <w:rFonts w:hint="eastAsia" w:ascii="宋体" w:hAnsi="宋体"/>
          <w:b/>
          <w:bCs/>
          <w:color w:val="FF0000"/>
          <w:sz w:val="24"/>
        </w:rPr>
        <w:t>日前交货完成</w:t>
      </w:r>
      <w:r>
        <w:rPr>
          <w:rFonts w:hint="eastAsia" w:ascii="宋体" w:hAnsi="宋体"/>
          <w:color w:val="FF0000"/>
          <w:sz w:val="24"/>
        </w:rPr>
        <w:t>。若逾期未交货视作违约，委托方有权终止合同，竞得方整个标的物保证金抵做违约金，并纳入失信黑名单。</w:t>
      </w:r>
    </w:p>
    <w:p w14:paraId="58E4E08F">
      <w:pPr>
        <w:widowControl/>
        <w:adjustRightInd w:val="0"/>
        <w:snapToGrid w:val="0"/>
        <w:spacing w:line="380" w:lineRule="exact"/>
        <w:ind w:firstLine="480" w:firstLineChars="200"/>
        <w:jc w:val="left"/>
        <w:rPr>
          <w:rFonts w:ascii="宋体" w:hAnsi="宋体" w:cs="宋体"/>
          <w:kern w:val="0"/>
          <w:sz w:val="24"/>
        </w:rPr>
      </w:pPr>
      <w:r>
        <w:rPr>
          <w:rFonts w:hint="eastAsia" w:ascii="宋体" w:hAnsi="宋体" w:cs="宋体"/>
          <w:kern w:val="0"/>
          <w:sz w:val="24"/>
        </w:rPr>
        <w:t>2、委托方每个接收库点每日安排接货最大数量为120吨，竞得方送货前必须事先与委托方协商确定送货时间及送货车辆（包括送货车辆车牌及驾驶员信息）；因不可抗力等原因影响接发货，另行商量。</w:t>
      </w:r>
    </w:p>
    <w:p w14:paraId="4081F9FA">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3、工作时间：委托方每天工作时间为8：00-17：</w:t>
      </w:r>
      <w:r>
        <w:rPr>
          <w:rFonts w:hint="eastAsia" w:ascii="宋体" w:cs="宋体"/>
          <w:kern w:val="0"/>
          <w:sz w:val="24"/>
        </w:rPr>
        <w:t>00</w:t>
      </w:r>
      <w:r>
        <w:rPr>
          <w:rFonts w:hint="eastAsia" w:ascii="宋体" w:hAnsi="宋体" w:cs="宋体"/>
          <w:kern w:val="0"/>
          <w:sz w:val="24"/>
        </w:rPr>
        <w:t>。在此时间内，委托方不得拒接或拖延办理交割手续。</w:t>
      </w:r>
    </w:p>
    <w:p w14:paraId="63C05B25">
      <w:pPr>
        <w:widowControl/>
        <w:adjustRightInd w:val="0"/>
        <w:snapToGrid w:val="0"/>
        <w:spacing w:line="380" w:lineRule="exact"/>
        <w:ind w:firstLine="480" w:firstLineChars="200"/>
        <w:jc w:val="left"/>
        <w:rPr>
          <w:rFonts w:ascii="宋体" w:cs="宋体"/>
          <w:color w:val="FF0000"/>
          <w:kern w:val="0"/>
          <w:sz w:val="24"/>
        </w:rPr>
      </w:pPr>
      <w:r>
        <w:rPr>
          <w:rFonts w:hint="eastAsia" w:ascii="宋体" w:hAnsi="宋体" w:cs="宋体"/>
          <w:kern w:val="0"/>
          <w:sz w:val="24"/>
        </w:rPr>
        <w:t>4、 交货地点：</w:t>
      </w:r>
      <w:r>
        <w:rPr>
          <w:rFonts w:hint="eastAsia" w:ascii="宋体" w:hAnsi="宋体"/>
          <w:b/>
          <w:bCs/>
          <w:color w:val="FF0000"/>
          <w:sz w:val="24"/>
        </w:rPr>
        <w:t xml:space="preserve"> </w:t>
      </w:r>
      <w:r>
        <w:rPr>
          <w:rFonts w:hint="eastAsia" w:ascii="宋体" w:hAnsi="宋体"/>
          <w:sz w:val="24"/>
        </w:rPr>
        <w:t>富阳区中心粮库（</w:t>
      </w:r>
      <w:r>
        <w:rPr>
          <w:rFonts w:hint="eastAsia" w:ascii="宋体" w:hAnsi="宋体" w:cs="宋体"/>
          <w:b/>
          <w:kern w:val="0"/>
          <w:sz w:val="24"/>
        </w:rPr>
        <w:t>地址：杭州市富阳区富春街道牌楼村217号</w:t>
      </w:r>
      <w:r>
        <w:rPr>
          <w:rFonts w:hint="eastAsia" w:ascii="宋体" w:hAnsi="宋体"/>
          <w:sz w:val="24"/>
        </w:rPr>
        <w:t>）</w:t>
      </w:r>
      <w:r>
        <w:rPr>
          <w:rFonts w:hint="eastAsia" w:ascii="宋体" w:hAnsi="宋体"/>
          <w:sz w:val="24"/>
          <w:lang w:eastAsia="zh-CN"/>
        </w:rPr>
        <w:t>；</w:t>
      </w:r>
      <w:r>
        <w:rPr>
          <w:rFonts w:hint="eastAsia" w:ascii="宋体" w:hAnsi="宋体" w:cs="宋体"/>
          <w:kern w:val="0"/>
          <w:sz w:val="24"/>
        </w:rPr>
        <w:t>南四粮库</w:t>
      </w:r>
      <w:r>
        <w:rPr>
          <w:rFonts w:hint="eastAsia" w:ascii="宋体" w:hAnsi="宋体" w:cs="宋体"/>
          <w:b/>
          <w:kern w:val="0"/>
          <w:sz w:val="24"/>
        </w:rPr>
        <w:t>（地址：杭州市富阳区新登镇南四村）</w:t>
      </w:r>
      <w:r>
        <w:rPr>
          <w:rFonts w:hint="eastAsia" w:ascii="宋体" w:hAnsi="宋体" w:cs="宋体"/>
          <w:b/>
          <w:color w:val="auto"/>
          <w:kern w:val="0"/>
          <w:sz w:val="24"/>
        </w:rPr>
        <w:t>。</w:t>
      </w:r>
      <w:r>
        <w:rPr>
          <w:rFonts w:hint="eastAsia" w:ascii="宋体" w:hAnsi="宋体" w:cs="宋体"/>
          <w:kern w:val="0"/>
          <w:sz w:val="24"/>
        </w:rPr>
        <w:t>调运联系人：</w:t>
      </w:r>
      <w:r>
        <w:rPr>
          <w:rFonts w:hint="eastAsia" w:ascii="宋体" w:hAnsi="宋体"/>
          <w:sz w:val="24"/>
          <w:lang w:val="en-US" w:eastAsia="zh-CN"/>
        </w:rPr>
        <w:t>中心</w:t>
      </w:r>
      <w:r>
        <w:rPr>
          <w:rFonts w:hint="eastAsia" w:ascii="宋体" w:hAnsi="宋体" w:cs="宋体"/>
          <w:kern w:val="0"/>
          <w:sz w:val="24"/>
        </w:rPr>
        <w:t>粮库，</w:t>
      </w:r>
      <w:r>
        <w:rPr>
          <w:rFonts w:hint="eastAsia" w:ascii="宋体" w:hAnsi="宋体" w:cs="宋体"/>
          <w:kern w:val="0"/>
          <w:sz w:val="24"/>
          <w:lang w:val="en-US" w:eastAsia="zh-CN"/>
        </w:rPr>
        <w:t>张</w:t>
      </w:r>
      <w:r>
        <w:rPr>
          <w:rFonts w:hint="eastAsia" w:ascii="宋体" w:hAnsi="宋体" w:cs="宋体"/>
          <w:kern w:val="0"/>
          <w:sz w:val="24"/>
        </w:rPr>
        <w:t>主任</w:t>
      </w:r>
      <w:r>
        <w:rPr>
          <w:rFonts w:hint="eastAsia" w:ascii="宋体" w:hAnsi="宋体" w:cs="宋体"/>
          <w:kern w:val="0"/>
          <w:sz w:val="24"/>
          <w:lang w:val="en-US" w:eastAsia="zh-CN"/>
        </w:rPr>
        <w:t>15958135855；南四</w:t>
      </w:r>
      <w:r>
        <w:rPr>
          <w:rFonts w:hint="eastAsia" w:ascii="宋体" w:hAnsi="宋体" w:cs="宋体"/>
          <w:kern w:val="0"/>
          <w:sz w:val="24"/>
        </w:rPr>
        <w:t>粮库，徐主任19884183635。</w:t>
      </w:r>
    </w:p>
    <w:p w14:paraId="2670266B">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5、交货方式及注意事项：</w:t>
      </w:r>
    </w:p>
    <w:p w14:paraId="2109218B">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实行竞得方送货制，由竞得方将粮食运至委托方指定仓库车板交货。</w:t>
      </w:r>
      <w:r>
        <w:rPr>
          <w:rFonts w:hint="eastAsia" w:ascii="宋体" w:hAnsi="宋体" w:cs="宋体"/>
          <w:color w:val="FF0000"/>
          <w:kern w:val="0"/>
          <w:sz w:val="24"/>
        </w:rPr>
        <w:t>限制80吨（含车身重量）以上的车辆及箱式车</w:t>
      </w:r>
      <w:r>
        <w:rPr>
          <w:rFonts w:hint="eastAsia" w:ascii="宋体" w:hAnsi="宋体" w:cs="宋体"/>
          <w:kern w:val="0"/>
          <w:sz w:val="24"/>
        </w:rPr>
        <w:t>。</w:t>
      </w:r>
    </w:p>
    <w:p w14:paraId="02850AAE">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6、验收办法：</w:t>
      </w:r>
    </w:p>
    <w:p w14:paraId="651291E3">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（1）</w:t>
      </w:r>
      <w:r>
        <w:rPr>
          <w:rFonts w:hint="eastAsia" w:ascii="宋体" w:hAnsi="宋体" w:cs="宋体"/>
          <w:kern w:val="0"/>
          <w:sz w:val="24"/>
          <w:lang w:val="en-US" w:eastAsia="zh-CN"/>
        </w:rPr>
        <w:t>检斤。</w:t>
      </w:r>
      <w:r>
        <w:rPr>
          <w:rFonts w:hint="eastAsia" w:ascii="宋体" w:hAnsi="宋体" w:cs="宋体"/>
          <w:kern w:val="0"/>
          <w:sz w:val="24"/>
        </w:rPr>
        <w:t>检斤方法及费用负担：抽包检斤，检斤费用由委托方承担。检斤后，磅单一式两份，双方（或委托代表）必须在磅单上签署验收意见，不得拒签。（提示：竞得方对磅秤标准有质疑时，有权提出验秤要求，委托方应予配合，费用由责任方负责）</w:t>
      </w:r>
      <w:bookmarkStart w:id="0" w:name="_GoBack"/>
      <w:r>
        <w:rPr>
          <w:rFonts w:hint="eastAsia" w:ascii="宋体" w:hAnsi="宋体" w:cs="宋体"/>
          <w:kern w:val="0"/>
          <w:sz w:val="24"/>
        </w:rPr>
        <w:t>。</w:t>
      </w:r>
      <w:bookmarkEnd w:id="0"/>
    </w:p>
    <w:p w14:paraId="2A5F1509">
      <w:pPr>
        <w:widowControl/>
        <w:tabs>
          <w:tab w:val="left" w:pos="993"/>
        </w:tabs>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（2）检质。竞得方需提供有资质的第三方粮食质量</w:t>
      </w:r>
      <w:r>
        <w:rPr>
          <w:rFonts w:hint="eastAsia" w:ascii="宋体" w:hAnsi="宋体" w:cs="宋体"/>
          <w:snapToGrid w:val="0"/>
          <w:kern w:val="0"/>
          <w:sz w:val="24"/>
        </w:rPr>
        <w:t>检测机构出具的原粮</w:t>
      </w:r>
      <w:r>
        <w:rPr>
          <w:rFonts w:hint="eastAsia" w:ascii="宋体" w:hAnsi="宋体" w:cs="宋体"/>
          <w:kern w:val="0"/>
          <w:sz w:val="24"/>
        </w:rPr>
        <w:t>检验报告及该批原粮是用于本次供货大米加工的承诺书给委托方。并且入库期间须随车提供规范的大米出厂质量检验报告，否则委托方有权拒绝入库；</w:t>
      </w:r>
      <w:r>
        <w:rPr>
          <w:rFonts w:hint="eastAsia" w:ascii="宋体" w:hAnsi="宋体" w:cs="宋体"/>
          <w:color w:val="FF0000"/>
          <w:kern w:val="0"/>
          <w:sz w:val="24"/>
        </w:rPr>
        <w:t>委托方实行逐车检验，</w:t>
      </w:r>
      <w:r>
        <w:rPr>
          <w:rFonts w:hint="eastAsia" w:ascii="宋体" w:hAnsi="宋体"/>
          <w:color w:val="FF0000"/>
          <w:sz w:val="24"/>
        </w:rPr>
        <w:t>新陈度检测采用大米新陈度快速测定方法</w:t>
      </w:r>
      <w:r>
        <w:rPr>
          <w:rFonts w:hint="eastAsia" w:ascii="宋体" w:hAnsi="宋体"/>
          <w:bCs/>
          <w:color w:val="FF0000"/>
          <w:sz w:val="24"/>
        </w:rPr>
        <w:t>（DB12/T245-2005），要求大米染色</w:t>
      </w:r>
      <w:r>
        <w:rPr>
          <w:rFonts w:hint="eastAsia" w:ascii="宋体" w:hAnsi="宋体"/>
          <w:b/>
          <w:bCs/>
          <w:color w:val="FF0000"/>
          <w:sz w:val="24"/>
        </w:rPr>
        <w:t>呈绿色</w:t>
      </w:r>
      <w:r>
        <w:rPr>
          <w:rFonts w:hint="eastAsia" w:ascii="宋体" w:hAnsi="宋体"/>
          <w:bCs/>
          <w:color w:val="FF0000"/>
          <w:sz w:val="24"/>
        </w:rPr>
        <w:t>；</w:t>
      </w:r>
      <w:r>
        <w:rPr>
          <w:rFonts w:hint="eastAsia" w:ascii="宋体" w:hAnsi="宋体" w:cs="宋体"/>
          <w:snapToGrid w:val="0"/>
          <w:kern w:val="0"/>
          <w:sz w:val="24"/>
        </w:rPr>
        <w:t>大米入库结束后经有资质的第三方检测机构抽样检测</w:t>
      </w:r>
      <w:r>
        <w:rPr>
          <w:rFonts w:hint="eastAsia" w:ascii="宋体" w:hAnsi="宋体" w:cs="宋体"/>
          <w:kern w:val="0"/>
          <w:sz w:val="24"/>
        </w:rPr>
        <w:t>，</w:t>
      </w:r>
      <w:r>
        <w:rPr>
          <w:rFonts w:hint="eastAsia" w:ascii="宋体" w:hAnsi="宋体" w:cs="宋体"/>
          <w:snapToGrid w:val="0"/>
          <w:kern w:val="0"/>
          <w:sz w:val="24"/>
        </w:rPr>
        <w:t>质量不合格，做退货处理，并要求竞得方5天日内补齐合格粮食，换货费用由竞得方承担，经有资质的第三方检测机构检测再次不合格的，没收竞得方全部履约保证金，且委托方有权对该批次大米进行公开竞价交易，并没收交易所得货款的40%，同时限制竞得方三年内不得参与委托方的一切粮食购销竞价场次</w:t>
      </w:r>
      <w:r>
        <w:rPr>
          <w:rFonts w:hint="eastAsia" w:ascii="宋体" w:hAnsi="宋体" w:cs="宋体"/>
          <w:kern w:val="0"/>
          <w:sz w:val="24"/>
        </w:rPr>
        <w:t>。</w:t>
      </w:r>
    </w:p>
    <w:p w14:paraId="571C7CB6">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7、委托方必须提供的相关服务与承诺：</w:t>
      </w:r>
    </w:p>
    <w:p w14:paraId="0A5D99CA">
      <w:pPr>
        <w:widowControl/>
        <w:adjustRightInd w:val="0"/>
        <w:snapToGrid w:val="0"/>
        <w:spacing w:line="380" w:lineRule="exact"/>
        <w:ind w:firstLine="480" w:firstLineChars="200"/>
        <w:jc w:val="left"/>
        <w:rPr>
          <w:rFonts w:ascii="宋体" w:hAnsi="宋体" w:cs="宋体"/>
          <w:kern w:val="0"/>
          <w:sz w:val="24"/>
        </w:rPr>
      </w:pPr>
      <w:r>
        <w:rPr>
          <w:rFonts w:hint="eastAsia" w:ascii="宋体" w:hAnsi="宋体" w:cs="宋体"/>
          <w:kern w:val="0"/>
          <w:sz w:val="24"/>
        </w:rPr>
        <w:t>竞得方送货时应在委托方正常工作时间范围内，委托方在正常工作时间内应及时向竞得方提供装卸服务，并在24小时之内完成装卸作业，因委托方原因所产生的延时损失费，按200元/天/车计费，由委托方承担，超过5天作拒收处理。</w:t>
      </w:r>
    </w:p>
    <w:p w14:paraId="18D40890">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8、货款结算期限：</w:t>
      </w:r>
    </w:p>
    <w:p w14:paraId="38BFEB6C">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snapToGrid w:val="0"/>
          <w:kern w:val="0"/>
          <w:sz w:val="24"/>
        </w:rPr>
        <w:t>入库结束后经有资质的第三方检测机构抽样检测</w:t>
      </w:r>
      <w:r>
        <w:rPr>
          <w:rFonts w:hint="eastAsia" w:ascii="宋体" w:cs="宋体"/>
          <w:snapToGrid w:val="0"/>
          <w:kern w:val="0"/>
          <w:sz w:val="24"/>
        </w:rPr>
        <w:t>,</w:t>
      </w:r>
      <w:r>
        <w:rPr>
          <w:rFonts w:hint="eastAsia" w:ascii="宋体" w:hAnsi="宋体" w:cs="宋体"/>
          <w:snapToGrid w:val="0"/>
          <w:kern w:val="0"/>
          <w:sz w:val="24"/>
        </w:rPr>
        <w:t>质量合格后付款。</w:t>
      </w:r>
    </w:p>
    <w:p w14:paraId="4F61A9AE">
      <w:pPr>
        <w:widowControl/>
        <w:adjustRightInd w:val="0"/>
        <w:snapToGrid w:val="0"/>
        <w:spacing w:line="380" w:lineRule="exact"/>
        <w:ind w:firstLine="480" w:firstLineChars="200"/>
        <w:jc w:val="left"/>
        <w:rPr>
          <w:rFonts w:ascii="宋体" w:cs="宋体"/>
          <w:kern w:val="0"/>
          <w:sz w:val="24"/>
        </w:rPr>
      </w:pPr>
      <w:r>
        <w:rPr>
          <w:rFonts w:hint="eastAsia" w:ascii="宋体" w:hAnsi="宋体" w:cs="宋体"/>
          <w:kern w:val="0"/>
          <w:sz w:val="24"/>
        </w:rPr>
        <w:t>9、货款结算方式：</w:t>
      </w:r>
    </w:p>
    <w:p w14:paraId="6226E927">
      <w:pPr>
        <w:widowControl/>
        <w:adjustRightInd w:val="0"/>
        <w:snapToGrid w:val="0"/>
        <w:spacing w:line="380" w:lineRule="exact"/>
        <w:ind w:firstLine="480" w:firstLineChars="200"/>
        <w:jc w:val="left"/>
        <w:rPr>
          <w:rFonts w:ascii="宋体" w:hAnsi="宋体" w:cs="宋体"/>
          <w:b/>
          <w:kern w:val="0"/>
          <w:sz w:val="24"/>
        </w:rPr>
      </w:pPr>
      <w:r>
        <w:rPr>
          <w:rFonts w:hint="eastAsia" w:ascii="宋体" w:hAnsi="宋体" w:cs="宋体"/>
          <w:kern w:val="0"/>
          <w:sz w:val="24"/>
        </w:rPr>
        <w:t>买卖双方自行结算，粮食入库后，竞得方凭相关验收凭证到杭州市富阳区粮食收储有限公司财务科结算，并提供正式发票。</w:t>
      </w:r>
    </w:p>
    <w:p w14:paraId="6BF824AD">
      <w:pPr>
        <w:widowControl/>
        <w:numPr>
          <w:ilvl w:val="0"/>
          <w:numId w:val="1"/>
        </w:numPr>
        <w:adjustRightInd w:val="0"/>
        <w:snapToGrid w:val="0"/>
        <w:spacing w:line="380" w:lineRule="exact"/>
        <w:ind w:firstLine="480" w:firstLineChars="200"/>
        <w:jc w:val="left"/>
        <w:rPr>
          <w:rFonts w:ascii="宋体" w:hAnsi="宋体" w:cs="宋体"/>
          <w:b/>
          <w:kern w:val="0"/>
          <w:sz w:val="24"/>
        </w:rPr>
      </w:pPr>
      <w:r>
        <w:rPr>
          <w:rFonts w:hint="eastAsia" w:ascii="宋体" w:hAnsi="宋体" w:cs="宋体"/>
          <w:b/>
          <w:kern w:val="0"/>
          <w:sz w:val="24"/>
        </w:rPr>
        <w:t>其他：</w:t>
      </w:r>
    </w:p>
    <w:p w14:paraId="34F566ED">
      <w:pPr>
        <w:widowControl/>
        <w:adjustRightInd w:val="0"/>
        <w:snapToGrid w:val="0"/>
        <w:spacing w:line="380" w:lineRule="exact"/>
        <w:ind w:firstLine="480" w:firstLineChars="200"/>
        <w:jc w:val="left"/>
        <w:rPr>
          <w:rFonts w:ascii="宋体" w:hAnsi="宋体" w:cs="宋体"/>
          <w:b/>
          <w:kern w:val="0"/>
          <w:sz w:val="24"/>
        </w:rPr>
      </w:pPr>
      <w:r>
        <w:rPr>
          <w:rFonts w:hint="eastAsia" w:ascii="宋体" w:hAnsi="宋体" w:cs="宋体"/>
          <w:kern w:val="0"/>
          <w:sz w:val="24"/>
        </w:rPr>
        <w:t>1、竞得后</w:t>
      </w:r>
      <w:r>
        <w:rPr>
          <w:rFonts w:hint="eastAsia" w:ascii="宋体" w:hAnsi="宋体" w:cs="宋体"/>
          <w:kern w:val="0"/>
          <w:sz w:val="24"/>
          <w:u w:val="single"/>
        </w:rPr>
        <w:t>3个工作日</w:t>
      </w:r>
      <w:r>
        <w:rPr>
          <w:rFonts w:hint="eastAsia" w:ascii="宋体" w:hAnsi="宋体" w:cs="宋体"/>
          <w:kern w:val="0"/>
          <w:sz w:val="24"/>
        </w:rPr>
        <w:t>内双方签订粮食购销合同，逾期供货或未按期完成供货量，委托方有权终止履行合同，竞得方承担相应违约责任。</w:t>
      </w:r>
    </w:p>
    <w:p w14:paraId="696AC4A7">
      <w:pPr>
        <w:widowControl/>
        <w:spacing w:line="380" w:lineRule="exact"/>
        <w:ind w:firstLine="480" w:firstLineChars="200"/>
        <w:jc w:val="left"/>
        <w:rPr>
          <w:rFonts w:ascii="宋体" w:cs="宋体"/>
          <w:kern w:val="0"/>
          <w:sz w:val="24"/>
        </w:rPr>
      </w:pPr>
      <w:r>
        <w:rPr>
          <w:rFonts w:hint="eastAsia" w:ascii="宋体" w:hAnsi="宋体" w:cs="宋体"/>
          <w:kern w:val="0"/>
          <w:sz w:val="24"/>
        </w:rPr>
        <w:t>2、</w:t>
      </w:r>
      <w:r>
        <w:rPr>
          <w:rFonts w:hint="eastAsia" w:ascii="宋体" w:hAnsi="宋体" w:cs="宋体"/>
          <w:b/>
          <w:color w:val="FF0000"/>
          <w:kern w:val="0"/>
          <w:sz w:val="24"/>
        </w:rPr>
        <w:t>竞得方须提供正式销货发票</w:t>
      </w:r>
      <w:r>
        <w:rPr>
          <w:rFonts w:hint="eastAsia" w:ascii="宋体" w:hAnsi="宋体" w:cs="宋体"/>
          <w:kern w:val="0"/>
          <w:sz w:val="24"/>
        </w:rPr>
        <w:t>，有关印花税等税款按国家有关规定由各自自行缴纳。</w:t>
      </w:r>
    </w:p>
    <w:p w14:paraId="68B8FFDB">
      <w:pPr>
        <w:widowControl/>
        <w:spacing w:line="380" w:lineRule="exact"/>
        <w:ind w:firstLine="480" w:firstLineChars="200"/>
        <w:jc w:val="left"/>
        <w:rPr>
          <w:rFonts w:ascii="宋体" w:hAnsi="宋体" w:cs="宋体"/>
          <w:kern w:val="0"/>
          <w:sz w:val="24"/>
        </w:rPr>
      </w:pPr>
      <w:r>
        <w:rPr>
          <w:rFonts w:hint="eastAsia" w:ascii="宋体" w:hAnsi="宋体" w:cs="宋体"/>
          <w:kern w:val="0"/>
          <w:sz w:val="24"/>
        </w:rPr>
        <w:t>3、本次竞价交易的起始价及成交价均指送到指定交货仓库前的车板价格（含包装和增值税普通发票），有关印花税等税款按国家有关规定各自自行缴纳。</w:t>
      </w:r>
    </w:p>
    <w:p w14:paraId="0FA599FB">
      <w:pPr>
        <w:widowControl/>
        <w:spacing w:line="380" w:lineRule="exact"/>
        <w:ind w:firstLine="480" w:firstLineChars="200"/>
        <w:jc w:val="left"/>
        <w:rPr>
          <w:rFonts w:ascii="宋体" w:hAnsi="宋体" w:cs="宋体"/>
          <w:b/>
          <w:kern w:val="0"/>
          <w:sz w:val="24"/>
        </w:rPr>
      </w:pPr>
      <w:r>
        <w:rPr>
          <w:rFonts w:hint="eastAsia" w:ascii="宋体" w:hAnsi="宋体" w:cs="宋体"/>
          <w:b/>
          <w:kern w:val="0"/>
          <w:sz w:val="24"/>
        </w:rPr>
        <w:t>四、重要说明：</w:t>
      </w:r>
    </w:p>
    <w:p w14:paraId="45D825D0">
      <w:pPr>
        <w:widowControl/>
        <w:spacing w:line="380" w:lineRule="exact"/>
        <w:ind w:firstLine="480" w:firstLineChars="200"/>
        <w:jc w:val="left"/>
        <w:rPr>
          <w:rFonts w:ascii="宋体" w:cs="宋体"/>
          <w:kern w:val="0"/>
          <w:sz w:val="24"/>
        </w:rPr>
      </w:pPr>
      <w:r>
        <w:rPr>
          <w:rFonts w:hint="eastAsia" w:ascii="宋体" w:hAnsi="宋体" w:cs="宋体"/>
          <w:kern w:val="0"/>
          <w:sz w:val="24"/>
        </w:rPr>
        <w:t>1、不符合质量要求作退货处理。</w:t>
      </w:r>
    </w:p>
    <w:p w14:paraId="31EF5445">
      <w:pPr>
        <w:spacing w:line="380" w:lineRule="exact"/>
        <w:ind w:firstLine="480" w:firstLineChars="200"/>
        <w:jc w:val="left"/>
        <w:rPr>
          <w:rFonts w:ascii="宋体" w:hAnsi="宋体"/>
          <w:sz w:val="24"/>
        </w:rPr>
      </w:pPr>
      <w:r>
        <w:rPr>
          <w:rFonts w:hint="eastAsia" w:ascii="宋体" w:hAnsi="宋体"/>
          <w:sz w:val="24"/>
        </w:rPr>
        <w:t>2、若逾期未交货视作违约，</w:t>
      </w:r>
      <w:r>
        <w:rPr>
          <w:rFonts w:hint="eastAsia" w:ascii="宋体" w:hAnsi="宋体" w:cs="宋体"/>
          <w:kern w:val="0"/>
          <w:sz w:val="24"/>
        </w:rPr>
        <w:t>双方因雨天原因而影响</w:t>
      </w:r>
      <w:r>
        <w:rPr>
          <w:rFonts w:hint="eastAsia" w:ascii="宋体" w:hAnsi="宋体" w:cs="宋体"/>
          <w:color w:val="FF0000"/>
          <w:kern w:val="0"/>
          <w:sz w:val="24"/>
        </w:rPr>
        <w:t>接货</w:t>
      </w:r>
      <w:r>
        <w:rPr>
          <w:rFonts w:hint="eastAsia" w:ascii="宋体" w:hAnsi="宋体" w:cs="宋体"/>
          <w:kern w:val="0"/>
          <w:sz w:val="24"/>
        </w:rPr>
        <w:t>造成后果的不算违约。</w:t>
      </w:r>
    </w:p>
    <w:p w14:paraId="4AABBD5F">
      <w:pPr>
        <w:spacing w:line="380" w:lineRule="exact"/>
        <w:ind w:firstLine="600" w:firstLineChars="250"/>
        <w:rPr>
          <w:rFonts w:ascii="宋体" w:hAnsi="宋体"/>
          <w:sz w:val="24"/>
        </w:rPr>
      </w:pPr>
    </w:p>
    <w:p w14:paraId="448A8979">
      <w:pPr>
        <w:spacing w:line="380" w:lineRule="exact"/>
        <w:ind w:firstLine="600" w:firstLineChars="250"/>
        <w:rPr>
          <w:rFonts w:ascii="宋体" w:hAnsi="宋体"/>
          <w:sz w:val="24"/>
        </w:rPr>
      </w:pPr>
    </w:p>
    <w:p w14:paraId="79BD5CA7">
      <w:pPr>
        <w:spacing w:line="380" w:lineRule="exact"/>
        <w:ind w:firstLine="480" w:firstLineChars="200"/>
        <w:jc w:val="right"/>
        <w:rPr>
          <w:rFonts w:ascii="宋体" w:hAnsi="宋体"/>
          <w:sz w:val="24"/>
        </w:rPr>
      </w:pPr>
      <w:r>
        <w:rPr>
          <w:rFonts w:hint="eastAsia" w:ascii="宋体" w:hAnsi="宋体"/>
          <w:sz w:val="24"/>
        </w:rPr>
        <w:t>国家粮食浙江交易中心</w:t>
      </w:r>
    </w:p>
    <w:p w14:paraId="75713C06">
      <w:pPr>
        <w:widowControl/>
        <w:spacing w:line="380" w:lineRule="exact"/>
        <w:ind w:firstLine="480"/>
        <w:jc w:val="right"/>
        <w:rPr>
          <w:rFonts w:ascii="宋体" w:hAnsi="宋体"/>
          <w:sz w:val="24"/>
        </w:rPr>
      </w:pPr>
      <w:r>
        <w:rPr>
          <w:rFonts w:ascii="宋体" w:hAnsi="宋体" w:cs="宋体"/>
          <w:color w:val="333333"/>
          <w:kern w:val="0"/>
          <w:sz w:val="24"/>
        </w:rPr>
        <w:t>二〇二</w:t>
      </w:r>
      <w:r>
        <w:rPr>
          <w:rFonts w:hint="eastAsia" w:ascii="宋体" w:hAnsi="宋体" w:cs="宋体"/>
          <w:color w:val="333333"/>
          <w:kern w:val="0"/>
          <w:sz w:val="24"/>
        </w:rPr>
        <w:t>五</w:t>
      </w:r>
      <w:r>
        <w:rPr>
          <w:rFonts w:ascii="宋体" w:hAnsi="宋体" w:cs="宋体"/>
          <w:color w:val="333333"/>
          <w:kern w:val="0"/>
          <w:sz w:val="24"/>
        </w:rPr>
        <w:t>年</w:t>
      </w:r>
      <w:r>
        <w:rPr>
          <w:rFonts w:hint="eastAsia" w:ascii="宋体" w:hAnsi="宋体" w:cs="宋体"/>
          <w:color w:val="333333"/>
          <w:kern w:val="0"/>
          <w:sz w:val="24"/>
          <w:lang w:val="en-US" w:eastAsia="zh-CN"/>
        </w:rPr>
        <w:t>十一</w:t>
      </w:r>
      <w:r>
        <w:rPr>
          <w:rFonts w:hint="eastAsia" w:ascii="宋体" w:hAnsi="宋体" w:cs="宋体"/>
          <w:color w:val="333333"/>
          <w:kern w:val="0"/>
          <w:sz w:val="24"/>
        </w:rPr>
        <w:t>月</w:t>
      </w:r>
      <w:r>
        <w:rPr>
          <w:rFonts w:hint="eastAsia" w:ascii="宋体" w:hAnsi="宋体" w:cs="宋体"/>
          <w:color w:val="333333"/>
          <w:kern w:val="0"/>
          <w:sz w:val="24"/>
          <w:lang w:val="en-US" w:eastAsia="zh-CN"/>
        </w:rPr>
        <w:t>十九</w:t>
      </w:r>
      <w:r>
        <w:rPr>
          <w:rFonts w:ascii="宋体" w:hAnsi="宋体" w:cs="宋体"/>
          <w:color w:val="333333"/>
          <w:kern w:val="0"/>
          <w:sz w:val="24"/>
        </w:rPr>
        <w:t>日</w:t>
      </w:r>
    </w:p>
    <w:sectPr>
      <w:headerReference r:id="rId3" w:type="default"/>
      <w:pgSz w:w="11906" w:h="16838"/>
      <w:pgMar w:top="1440" w:right="1797" w:bottom="1440"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FB8C12">
    <w:pPr>
      <w:pStyle w:val="3"/>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DF3D55"/>
    <w:multiLevelType w:val="singleLevel"/>
    <w:tmpl w:val="8EDF3D5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1"/>
  </w:compat>
  <w:docVars>
    <w:docVar w:name="commondata" w:val="eyJoZGlkIjoiYjRmMzU2ZjZhNzAwN2FkZGQxMmU2ZTUwZmI3ZDAxYTkifQ=="/>
  </w:docVars>
  <w:rsids>
    <w:rsidRoot w:val="00E55BFB"/>
    <w:rsid w:val="00000E24"/>
    <w:rsid w:val="0000630B"/>
    <w:rsid w:val="0001462D"/>
    <w:rsid w:val="0001655F"/>
    <w:rsid w:val="000271CD"/>
    <w:rsid w:val="000412C5"/>
    <w:rsid w:val="000453F5"/>
    <w:rsid w:val="00045FCA"/>
    <w:rsid w:val="0005301E"/>
    <w:rsid w:val="00063D0B"/>
    <w:rsid w:val="00063F0F"/>
    <w:rsid w:val="00075212"/>
    <w:rsid w:val="00084A1A"/>
    <w:rsid w:val="00084F59"/>
    <w:rsid w:val="00094C9D"/>
    <w:rsid w:val="00096801"/>
    <w:rsid w:val="00097738"/>
    <w:rsid w:val="000A05CE"/>
    <w:rsid w:val="000B1C22"/>
    <w:rsid w:val="000B407A"/>
    <w:rsid w:val="000B512A"/>
    <w:rsid w:val="000B7F6A"/>
    <w:rsid w:val="000C0C3B"/>
    <w:rsid w:val="000C35B4"/>
    <w:rsid w:val="000E16B7"/>
    <w:rsid w:val="000F1A63"/>
    <w:rsid w:val="00103555"/>
    <w:rsid w:val="001208C7"/>
    <w:rsid w:val="00124FD4"/>
    <w:rsid w:val="001279A5"/>
    <w:rsid w:val="001439E2"/>
    <w:rsid w:val="001500E6"/>
    <w:rsid w:val="0015666B"/>
    <w:rsid w:val="00157268"/>
    <w:rsid w:val="001612A3"/>
    <w:rsid w:val="001625C7"/>
    <w:rsid w:val="001679DE"/>
    <w:rsid w:val="00170CF5"/>
    <w:rsid w:val="00173968"/>
    <w:rsid w:val="0018098F"/>
    <w:rsid w:val="001824E4"/>
    <w:rsid w:val="001832E8"/>
    <w:rsid w:val="0018332E"/>
    <w:rsid w:val="00195A39"/>
    <w:rsid w:val="00196050"/>
    <w:rsid w:val="00196BF0"/>
    <w:rsid w:val="001A0B52"/>
    <w:rsid w:val="001A25C4"/>
    <w:rsid w:val="001A3A4A"/>
    <w:rsid w:val="001A6D51"/>
    <w:rsid w:val="001B7010"/>
    <w:rsid w:val="001B72C6"/>
    <w:rsid w:val="001B79C1"/>
    <w:rsid w:val="001C041A"/>
    <w:rsid w:val="001C1B0B"/>
    <w:rsid w:val="001C30E1"/>
    <w:rsid w:val="001C5D9C"/>
    <w:rsid w:val="001D1954"/>
    <w:rsid w:val="001E5110"/>
    <w:rsid w:val="001E5FE0"/>
    <w:rsid w:val="001F0C74"/>
    <w:rsid w:val="001F0DDA"/>
    <w:rsid w:val="001F6B79"/>
    <w:rsid w:val="002055B6"/>
    <w:rsid w:val="00206792"/>
    <w:rsid w:val="00210624"/>
    <w:rsid w:val="00231F28"/>
    <w:rsid w:val="00233C44"/>
    <w:rsid w:val="00237EE8"/>
    <w:rsid w:val="00254C23"/>
    <w:rsid w:val="002723BA"/>
    <w:rsid w:val="00273210"/>
    <w:rsid w:val="0027553F"/>
    <w:rsid w:val="0027797F"/>
    <w:rsid w:val="00291EA0"/>
    <w:rsid w:val="002924DD"/>
    <w:rsid w:val="0029284A"/>
    <w:rsid w:val="002A60B7"/>
    <w:rsid w:val="002A7BDD"/>
    <w:rsid w:val="002A7EE7"/>
    <w:rsid w:val="002A7FD6"/>
    <w:rsid w:val="002C11B2"/>
    <w:rsid w:val="002C2490"/>
    <w:rsid w:val="002C658F"/>
    <w:rsid w:val="002D1147"/>
    <w:rsid w:val="002D2075"/>
    <w:rsid w:val="002E2D4A"/>
    <w:rsid w:val="002F1141"/>
    <w:rsid w:val="002F7F3A"/>
    <w:rsid w:val="00306209"/>
    <w:rsid w:val="00312438"/>
    <w:rsid w:val="003175B4"/>
    <w:rsid w:val="00317E05"/>
    <w:rsid w:val="003316DE"/>
    <w:rsid w:val="003351E4"/>
    <w:rsid w:val="0034173D"/>
    <w:rsid w:val="003464B6"/>
    <w:rsid w:val="003478BC"/>
    <w:rsid w:val="00353AAF"/>
    <w:rsid w:val="00354201"/>
    <w:rsid w:val="003621E6"/>
    <w:rsid w:val="003654B5"/>
    <w:rsid w:val="00384F02"/>
    <w:rsid w:val="0038608B"/>
    <w:rsid w:val="003A4E08"/>
    <w:rsid w:val="003C1774"/>
    <w:rsid w:val="003C2177"/>
    <w:rsid w:val="003C5861"/>
    <w:rsid w:val="003D3C49"/>
    <w:rsid w:val="003D6158"/>
    <w:rsid w:val="003E0838"/>
    <w:rsid w:val="003F0EAF"/>
    <w:rsid w:val="003F5767"/>
    <w:rsid w:val="00401DA5"/>
    <w:rsid w:val="004163D7"/>
    <w:rsid w:val="00426A0C"/>
    <w:rsid w:val="00442777"/>
    <w:rsid w:val="00447512"/>
    <w:rsid w:val="00450FD4"/>
    <w:rsid w:val="00454BAA"/>
    <w:rsid w:val="00462CE8"/>
    <w:rsid w:val="00466FD2"/>
    <w:rsid w:val="004739BE"/>
    <w:rsid w:val="00473DE2"/>
    <w:rsid w:val="00481679"/>
    <w:rsid w:val="00486A0F"/>
    <w:rsid w:val="004A5798"/>
    <w:rsid w:val="004C1371"/>
    <w:rsid w:val="004D29D9"/>
    <w:rsid w:val="004E0078"/>
    <w:rsid w:val="004E1822"/>
    <w:rsid w:val="0050023A"/>
    <w:rsid w:val="00502468"/>
    <w:rsid w:val="0050369C"/>
    <w:rsid w:val="0050467D"/>
    <w:rsid w:val="005057CB"/>
    <w:rsid w:val="00506418"/>
    <w:rsid w:val="00512A00"/>
    <w:rsid w:val="00522C0D"/>
    <w:rsid w:val="00524323"/>
    <w:rsid w:val="005251A5"/>
    <w:rsid w:val="00526EFB"/>
    <w:rsid w:val="00531FC6"/>
    <w:rsid w:val="00532814"/>
    <w:rsid w:val="00534F7D"/>
    <w:rsid w:val="00535D86"/>
    <w:rsid w:val="005766DD"/>
    <w:rsid w:val="00582846"/>
    <w:rsid w:val="00582D60"/>
    <w:rsid w:val="005A11A8"/>
    <w:rsid w:val="005A22A9"/>
    <w:rsid w:val="005A3DF1"/>
    <w:rsid w:val="005B3540"/>
    <w:rsid w:val="005B5700"/>
    <w:rsid w:val="005D1476"/>
    <w:rsid w:val="005D38F4"/>
    <w:rsid w:val="005D5D84"/>
    <w:rsid w:val="005E1856"/>
    <w:rsid w:val="005F352F"/>
    <w:rsid w:val="005F3DB5"/>
    <w:rsid w:val="005F4FD2"/>
    <w:rsid w:val="005F5CE3"/>
    <w:rsid w:val="0060148B"/>
    <w:rsid w:val="006053E7"/>
    <w:rsid w:val="006103FB"/>
    <w:rsid w:val="00622CD4"/>
    <w:rsid w:val="00632259"/>
    <w:rsid w:val="006359D5"/>
    <w:rsid w:val="00641604"/>
    <w:rsid w:val="0064173B"/>
    <w:rsid w:val="006472AD"/>
    <w:rsid w:val="00654F3F"/>
    <w:rsid w:val="00654FB5"/>
    <w:rsid w:val="00656BD0"/>
    <w:rsid w:val="00661560"/>
    <w:rsid w:val="00661BC0"/>
    <w:rsid w:val="00664656"/>
    <w:rsid w:val="00666EB0"/>
    <w:rsid w:val="00671D10"/>
    <w:rsid w:val="00676331"/>
    <w:rsid w:val="00692C17"/>
    <w:rsid w:val="006B0C37"/>
    <w:rsid w:val="006B6F0B"/>
    <w:rsid w:val="006D0D60"/>
    <w:rsid w:val="006D6D31"/>
    <w:rsid w:val="006D76B4"/>
    <w:rsid w:val="006F69B8"/>
    <w:rsid w:val="00704DC9"/>
    <w:rsid w:val="00705790"/>
    <w:rsid w:val="007139E7"/>
    <w:rsid w:val="00714514"/>
    <w:rsid w:val="00715A1E"/>
    <w:rsid w:val="00717098"/>
    <w:rsid w:val="00717D40"/>
    <w:rsid w:val="00726613"/>
    <w:rsid w:val="00731DFC"/>
    <w:rsid w:val="00747AF5"/>
    <w:rsid w:val="00753AE4"/>
    <w:rsid w:val="0076336A"/>
    <w:rsid w:val="0077533A"/>
    <w:rsid w:val="00776429"/>
    <w:rsid w:val="00777092"/>
    <w:rsid w:val="007929FE"/>
    <w:rsid w:val="00796C19"/>
    <w:rsid w:val="007A3DB7"/>
    <w:rsid w:val="007A7FD2"/>
    <w:rsid w:val="007B0C46"/>
    <w:rsid w:val="007B2759"/>
    <w:rsid w:val="007B2BA1"/>
    <w:rsid w:val="007B4D8E"/>
    <w:rsid w:val="007C125F"/>
    <w:rsid w:val="007C77AF"/>
    <w:rsid w:val="007D2D9E"/>
    <w:rsid w:val="007E197E"/>
    <w:rsid w:val="007E74C7"/>
    <w:rsid w:val="00825432"/>
    <w:rsid w:val="008307D2"/>
    <w:rsid w:val="008478B4"/>
    <w:rsid w:val="00866670"/>
    <w:rsid w:val="00873D6D"/>
    <w:rsid w:val="00882BA6"/>
    <w:rsid w:val="0088550B"/>
    <w:rsid w:val="008945AB"/>
    <w:rsid w:val="00897E38"/>
    <w:rsid w:val="008A1902"/>
    <w:rsid w:val="008A49C8"/>
    <w:rsid w:val="008A7DF9"/>
    <w:rsid w:val="008B5586"/>
    <w:rsid w:val="008B6A70"/>
    <w:rsid w:val="008D1889"/>
    <w:rsid w:val="008E445F"/>
    <w:rsid w:val="0090025D"/>
    <w:rsid w:val="0096315E"/>
    <w:rsid w:val="00970684"/>
    <w:rsid w:val="00974CB2"/>
    <w:rsid w:val="00995236"/>
    <w:rsid w:val="009A7A0A"/>
    <w:rsid w:val="009B17C2"/>
    <w:rsid w:val="009C1E60"/>
    <w:rsid w:val="009D1D67"/>
    <w:rsid w:val="009E6C26"/>
    <w:rsid w:val="009F45F6"/>
    <w:rsid w:val="00A079E0"/>
    <w:rsid w:val="00A13591"/>
    <w:rsid w:val="00A136E3"/>
    <w:rsid w:val="00A142EE"/>
    <w:rsid w:val="00A14935"/>
    <w:rsid w:val="00A214D9"/>
    <w:rsid w:val="00A24900"/>
    <w:rsid w:val="00A309ED"/>
    <w:rsid w:val="00A34057"/>
    <w:rsid w:val="00A41068"/>
    <w:rsid w:val="00A50492"/>
    <w:rsid w:val="00A525BC"/>
    <w:rsid w:val="00A60A5C"/>
    <w:rsid w:val="00A6157F"/>
    <w:rsid w:val="00A72257"/>
    <w:rsid w:val="00A74C41"/>
    <w:rsid w:val="00A76BF7"/>
    <w:rsid w:val="00A84B1E"/>
    <w:rsid w:val="00A87250"/>
    <w:rsid w:val="00A87E04"/>
    <w:rsid w:val="00A9188E"/>
    <w:rsid w:val="00A9323F"/>
    <w:rsid w:val="00A94ECA"/>
    <w:rsid w:val="00AB06AF"/>
    <w:rsid w:val="00AB1BA9"/>
    <w:rsid w:val="00AB1C1D"/>
    <w:rsid w:val="00AB298B"/>
    <w:rsid w:val="00AB2C43"/>
    <w:rsid w:val="00AD6A4A"/>
    <w:rsid w:val="00AE7217"/>
    <w:rsid w:val="00AF1A32"/>
    <w:rsid w:val="00B35784"/>
    <w:rsid w:val="00B35951"/>
    <w:rsid w:val="00B4232A"/>
    <w:rsid w:val="00B44F5A"/>
    <w:rsid w:val="00B45FED"/>
    <w:rsid w:val="00B600C9"/>
    <w:rsid w:val="00B624CA"/>
    <w:rsid w:val="00B67826"/>
    <w:rsid w:val="00B67AB5"/>
    <w:rsid w:val="00B72754"/>
    <w:rsid w:val="00B74DC9"/>
    <w:rsid w:val="00B751CE"/>
    <w:rsid w:val="00B87C2D"/>
    <w:rsid w:val="00B9048B"/>
    <w:rsid w:val="00B951E8"/>
    <w:rsid w:val="00BE089F"/>
    <w:rsid w:val="00BE3242"/>
    <w:rsid w:val="00BF1F4C"/>
    <w:rsid w:val="00C16251"/>
    <w:rsid w:val="00C275B1"/>
    <w:rsid w:val="00C519B5"/>
    <w:rsid w:val="00C60F8E"/>
    <w:rsid w:val="00C957C4"/>
    <w:rsid w:val="00C96890"/>
    <w:rsid w:val="00CA74F2"/>
    <w:rsid w:val="00CC1B37"/>
    <w:rsid w:val="00CC31B5"/>
    <w:rsid w:val="00CC459A"/>
    <w:rsid w:val="00CC61C9"/>
    <w:rsid w:val="00CC6DF6"/>
    <w:rsid w:val="00CC703A"/>
    <w:rsid w:val="00CD4489"/>
    <w:rsid w:val="00CE127B"/>
    <w:rsid w:val="00CF5DAB"/>
    <w:rsid w:val="00CF60B5"/>
    <w:rsid w:val="00CF6A8A"/>
    <w:rsid w:val="00D06C36"/>
    <w:rsid w:val="00D07371"/>
    <w:rsid w:val="00D12AB8"/>
    <w:rsid w:val="00D14989"/>
    <w:rsid w:val="00D1763C"/>
    <w:rsid w:val="00D177C4"/>
    <w:rsid w:val="00D17B96"/>
    <w:rsid w:val="00D21EE6"/>
    <w:rsid w:val="00D332C9"/>
    <w:rsid w:val="00D3412E"/>
    <w:rsid w:val="00D40453"/>
    <w:rsid w:val="00D44346"/>
    <w:rsid w:val="00D64A76"/>
    <w:rsid w:val="00D667A5"/>
    <w:rsid w:val="00D85C08"/>
    <w:rsid w:val="00D85F55"/>
    <w:rsid w:val="00D95D2B"/>
    <w:rsid w:val="00D97A10"/>
    <w:rsid w:val="00DA5849"/>
    <w:rsid w:val="00DA5C2E"/>
    <w:rsid w:val="00DA6BD5"/>
    <w:rsid w:val="00DA7CEE"/>
    <w:rsid w:val="00DB53FA"/>
    <w:rsid w:val="00DB593E"/>
    <w:rsid w:val="00DC2604"/>
    <w:rsid w:val="00DC4C31"/>
    <w:rsid w:val="00DC7D6D"/>
    <w:rsid w:val="00DD19E4"/>
    <w:rsid w:val="00DE09CB"/>
    <w:rsid w:val="00E01D55"/>
    <w:rsid w:val="00E1363E"/>
    <w:rsid w:val="00E16AD1"/>
    <w:rsid w:val="00E21655"/>
    <w:rsid w:val="00E25ADB"/>
    <w:rsid w:val="00E30BD7"/>
    <w:rsid w:val="00E318A2"/>
    <w:rsid w:val="00E32B2D"/>
    <w:rsid w:val="00E34EC1"/>
    <w:rsid w:val="00E365EF"/>
    <w:rsid w:val="00E368DA"/>
    <w:rsid w:val="00E410F5"/>
    <w:rsid w:val="00E50049"/>
    <w:rsid w:val="00E55BFB"/>
    <w:rsid w:val="00E725A5"/>
    <w:rsid w:val="00E76BB0"/>
    <w:rsid w:val="00E82460"/>
    <w:rsid w:val="00E9554C"/>
    <w:rsid w:val="00E97651"/>
    <w:rsid w:val="00EA19FD"/>
    <w:rsid w:val="00EB6656"/>
    <w:rsid w:val="00EC294D"/>
    <w:rsid w:val="00ED3505"/>
    <w:rsid w:val="00EE6718"/>
    <w:rsid w:val="00F107B3"/>
    <w:rsid w:val="00F149DD"/>
    <w:rsid w:val="00F16651"/>
    <w:rsid w:val="00F26EA6"/>
    <w:rsid w:val="00F30337"/>
    <w:rsid w:val="00F3073F"/>
    <w:rsid w:val="00F557B8"/>
    <w:rsid w:val="00F56520"/>
    <w:rsid w:val="00F77B29"/>
    <w:rsid w:val="00F81582"/>
    <w:rsid w:val="00F90CB5"/>
    <w:rsid w:val="00FA69F7"/>
    <w:rsid w:val="00FB227F"/>
    <w:rsid w:val="00FB2B61"/>
    <w:rsid w:val="00FB626D"/>
    <w:rsid w:val="00FB7C49"/>
    <w:rsid w:val="00FD1C59"/>
    <w:rsid w:val="00FD4EB7"/>
    <w:rsid w:val="00FD5348"/>
    <w:rsid w:val="00FD551D"/>
    <w:rsid w:val="01C90161"/>
    <w:rsid w:val="09062B93"/>
    <w:rsid w:val="09EE6707"/>
    <w:rsid w:val="0A8B4AE4"/>
    <w:rsid w:val="0B9345C1"/>
    <w:rsid w:val="0E063064"/>
    <w:rsid w:val="0E0D0A52"/>
    <w:rsid w:val="0F8B397A"/>
    <w:rsid w:val="10C3147F"/>
    <w:rsid w:val="1139073C"/>
    <w:rsid w:val="14B03D6C"/>
    <w:rsid w:val="18B779E8"/>
    <w:rsid w:val="19EC5639"/>
    <w:rsid w:val="1EA0162C"/>
    <w:rsid w:val="1F5F63DC"/>
    <w:rsid w:val="20936B97"/>
    <w:rsid w:val="25521D55"/>
    <w:rsid w:val="26EC7F65"/>
    <w:rsid w:val="28DF7A72"/>
    <w:rsid w:val="2D984B10"/>
    <w:rsid w:val="336A6363"/>
    <w:rsid w:val="36FD1819"/>
    <w:rsid w:val="3B816AD5"/>
    <w:rsid w:val="3CA66D36"/>
    <w:rsid w:val="3D393726"/>
    <w:rsid w:val="3E9906DB"/>
    <w:rsid w:val="3F8F5E19"/>
    <w:rsid w:val="4280765E"/>
    <w:rsid w:val="42B46137"/>
    <w:rsid w:val="43206DC2"/>
    <w:rsid w:val="44934507"/>
    <w:rsid w:val="488735D8"/>
    <w:rsid w:val="4B574204"/>
    <w:rsid w:val="4BF62439"/>
    <w:rsid w:val="4C636F5E"/>
    <w:rsid w:val="521E42A8"/>
    <w:rsid w:val="55D85011"/>
    <w:rsid w:val="5BD269A3"/>
    <w:rsid w:val="5F0E5AC8"/>
    <w:rsid w:val="5FA904C0"/>
    <w:rsid w:val="614C0AF1"/>
    <w:rsid w:val="61FF7C19"/>
    <w:rsid w:val="63451FE9"/>
    <w:rsid w:val="64DF6C7A"/>
    <w:rsid w:val="64F74985"/>
    <w:rsid w:val="661B4F46"/>
    <w:rsid w:val="68010971"/>
    <w:rsid w:val="68A2178D"/>
    <w:rsid w:val="6A330C06"/>
    <w:rsid w:val="6D6E28A4"/>
    <w:rsid w:val="6FC426F3"/>
    <w:rsid w:val="721E3D28"/>
    <w:rsid w:val="783A04D5"/>
    <w:rsid w:val="790D080B"/>
    <w:rsid w:val="79587536"/>
    <w:rsid w:val="7F256EEF"/>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rPr>
      <w:sz w:val="24"/>
    </w:rPr>
  </w:style>
  <w:style w:type="character" w:customStyle="1" w:styleId="7">
    <w:name w:val="页脚 Char"/>
    <w:link w:val="2"/>
    <w:qFormat/>
    <w:uiPriority w:val="0"/>
    <w:rPr>
      <w:kern w:val="2"/>
      <w:sz w:val="18"/>
      <w:szCs w:val="18"/>
    </w:rPr>
  </w:style>
  <w:style w:type="character" w:customStyle="1" w:styleId="8">
    <w:name w:val="页眉 Char"/>
    <w:link w:val="3"/>
    <w:qFormat/>
    <w:uiPriority w:val="0"/>
    <w:rPr>
      <w:kern w:val="2"/>
      <w:sz w:val="18"/>
      <w:szCs w:val="18"/>
    </w:rPr>
  </w:style>
  <w:style w:type="character" w:customStyle="1" w:styleId="9">
    <w:name w:val="style131"/>
    <w:qFormat/>
    <w:uiPriority w:val="0"/>
    <w:rPr>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WwW.YlmF.CoM</Company>
  <Pages>2</Pages>
  <Words>1647</Words>
  <Characters>1755</Characters>
  <Lines>1</Lines>
  <Paragraphs>3</Paragraphs>
  <TotalTime>13</TotalTime>
  <ScaleCrop>false</ScaleCrop>
  <LinksUpToDate>false</LinksUpToDate>
  <CharactersWithSpaces>1761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2014-10-31T02:20:00Z</dcterms:created>
  <dc:creator>雨林木风</dc:creator>
  <cp:lastModifiedBy>丰莹</cp:lastModifiedBy>
  <cp:lastPrinted>2014-11-07T02:07:00Z</cp:lastPrinted>
  <dcterms:modified xsi:type="dcterms:W3CDTF">2025-11-19T05:50:14Z</dcterms:modified>
  <dc:title>附件：</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BC1D432ECCC5426AA9162A2E71BE53C5</vt:lpwstr>
  </property>
  <property fmtid="{D5CDD505-2E9C-101B-9397-08002B2CF9AE}" pid="4" name="KSOTemplateDocerSaveRecord">
    <vt:lpwstr>eyJoZGlkIjoiZmJlYzM5NDg1MzliNWQzZjcyNzBhYTU2ZDA4MmU0NTciLCJ1c2VySWQiOiIyODkxODI0NDkifQ==</vt:lpwstr>
  </property>
</Properties>
</file>