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jc w:val="center"/>
        <w:rPr>
          <w:rFonts w:ascii="宋体" w:hAnsi="宋体" w:cs="黑体"/>
          <w:b/>
          <w:color w:val="000000"/>
          <w:sz w:val="32"/>
          <w:szCs w:val="32"/>
        </w:rPr>
      </w:pPr>
      <w:r>
        <w:rPr>
          <w:rFonts w:hint="eastAsia" w:ascii="宋体" w:hAnsi="宋体" w:cs="黑体"/>
          <w:b/>
          <w:color w:val="000000"/>
          <w:sz w:val="32"/>
          <w:szCs w:val="32"/>
        </w:rPr>
        <w:t>粮食竞价交易采购合同</w:t>
      </w:r>
    </w:p>
    <w:p>
      <w:pPr>
        <w:spacing w:line="580" w:lineRule="exact"/>
        <w:rPr>
          <w:rFonts w:ascii="宋体" w:hAnsi="宋体"/>
          <w:color w:val="000000"/>
          <w:sz w:val="22"/>
          <w:szCs w:val="22"/>
        </w:rPr>
      </w:pPr>
      <w:r>
        <w:rPr>
          <w:rFonts w:hint="eastAsia" w:ascii="宋体" w:hAnsi="宋体"/>
          <w:b/>
          <w:color w:val="000000"/>
          <w:sz w:val="24"/>
        </w:rPr>
        <w:t>甲方：</w:t>
      </w:r>
      <w:r>
        <w:rPr>
          <w:rFonts w:hint="eastAsia" w:ascii="宋体" w:hAnsi="宋体"/>
          <w:color w:val="000000"/>
          <w:sz w:val="24"/>
          <w:u w:val="single"/>
        </w:rPr>
        <w:t>杭州市富阳区粮食收储有限公司</w:t>
      </w:r>
      <w:r>
        <w:rPr>
          <w:rFonts w:ascii="宋体" w:hAnsi="宋体"/>
          <w:color w:val="000000"/>
          <w:sz w:val="24"/>
        </w:rPr>
        <w:t xml:space="preserve">   </w:t>
      </w:r>
      <w:r>
        <w:rPr>
          <w:rFonts w:hint="eastAsia" w:ascii="宋体" w:hAnsi="宋体"/>
          <w:color w:val="000000"/>
          <w:sz w:val="24"/>
        </w:rPr>
        <w:t xml:space="preserve">     </w:t>
      </w:r>
      <w:r>
        <w:rPr>
          <w:rFonts w:hint="eastAsia" w:ascii="宋体" w:hAnsi="宋体"/>
          <w:b/>
          <w:color w:val="000000"/>
          <w:sz w:val="24"/>
        </w:rPr>
        <w:t>合同编号</w:t>
      </w:r>
      <w:r>
        <w:rPr>
          <w:rFonts w:hint="eastAsia" w:ascii="宋体" w:hAnsi="宋体"/>
          <w:b/>
          <w:bCs/>
          <w:color w:val="000000"/>
          <w:sz w:val="24"/>
        </w:rPr>
        <w:t>：</w:t>
      </w:r>
      <w:r>
        <w:rPr>
          <w:rFonts w:hint="eastAsia" w:ascii="宋体" w:hAnsi="宋体"/>
          <w:color w:val="000000"/>
          <w:sz w:val="24"/>
        </w:rPr>
        <w:t>富粮储成购202</w:t>
      </w:r>
      <w:r>
        <w:rPr>
          <w:rFonts w:hint="eastAsia" w:ascii="宋体" w:hAnsi="宋体"/>
          <w:color w:val="000000"/>
          <w:sz w:val="24"/>
          <w:lang w:val="en-US" w:eastAsia="zh-CN"/>
        </w:rPr>
        <w:t>5010</w:t>
      </w:r>
      <w:r>
        <w:rPr>
          <w:rFonts w:hint="eastAsia" w:ascii="宋体" w:hAnsi="宋体"/>
          <w:color w:val="000000"/>
          <w:sz w:val="24"/>
        </w:rPr>
        <w:t xml:space="preserve"> </w:t>
      </w:r>
    </w:p>
    <w:p>
      <w:pPr>
        <w:spacing w:line="580" w:lineRule="exact"/>
        <w:rPr>
          <w:rFonts w:ascii="宋体" w:hAnsi="宋体"/>
          <w:color w:val="000000"/>
          <w:sz w:val="24"/>
        </w:rPr>
      </w:pPr>
      <w:r>
        <w:rPr>
          <w:rFonts w:hint="eastAsia" w:ascii="宋体" w:hAnsi="宋体"/>
          <w:b/>
          <w:color w:val="000000"/>
          <w:sz w:val="24"/>
        </w:rPr>
        <w:t>乙方</w:t>
      </w:r>
      <w:r>
        <w:rPr>
          <w:rFonts w:hint="eastAsia" w:ascii="宋体" w:hAnsi="宋体"/>
          <w:b/>
          <w:bCs/>
          <w:color w:val="000000"/>
          <w:sz w:val="24"/>
        </w:rPr>
        <w:t>：</w:t>
      </w:r>
      <w:r>
        <w:rPr>
          <w:rFonts w:hint="eastAsia" w:ascii="宋体" w:hAnsi="宋体"/>
          <w:color w:val="000000"/>
          <w:sz w:val="24"/>
          <w:u w:val="single"/>
          <w:lang w:val="en-US" w:eastAsia="zh-CN"/>
        </w:rPr>
        <w:t xml:space="preserve">                          </w:t>
      </w:r>
      <w:r>
        <w:rPr>
          <w:rFonts w:hint="eastAsia" w:ascii="宋体" w:hAnsi="宋体"/>
          <w:color w:val="000000"/>
          <w:sz w:val="24"/>
        </w:rPr>
        <w:t xml:space="preserve">          </w:t>
      </w:r>
      <w:r>
        <w:rPr>
          <w:rFonts w:hint="eastAsia" w:ascii="宋体" w:hAnsi="宋体"/>
          <w:b/>
          <w:color w:val="000000"/>
          <w:sz w:val="24"/>
        </w:rPr>
        <w:t>签约地点：</w:t>
      </w:r>
      <w:r>
        <w:rPr>
          <w:rFonts w:hint="eastAsia" w:ascii="宋体" w:hAnsi="宋体"/>
          <w:color w:val="000000"/>
          <w:sz w:val="24"/>
        </w:rPr>
        <w:t>富阳</w:t>
      </w:r>
    </w:p>
    <w:p>
      <w:pPr>
        <w:spacing w:line="580" w:lineRule="exact"/>
        <w:rPr>
          <w:rFonts w:ascii="宋体" w:hAnsi="宋体"/>
          <w:color w:val="000000"/>
          <w:sz w:val="24"/>
        </w:rPr>
      </w:pPr>
      <w:r>
        <w:rPr>
          <w:rFonts w:ascii="宋体" w:hAnsi="宋体"/>
          <w:color w:val="000000"/>
          <w:sz w:val="24"/>
        </w:rPr>
        <w:t xml:space="preserve">                                    </w:t>
      </w:r>
      <w:r>
        <w:rPr>
          <w:rFonts w:hint="eastAsia" w:ascii="宋体" w:hAnsi="宋体"/>
          <w:color w:val="000000"/>
          <w:sz w:val="24"/>
        </w:rPr>
        <w:t xml:space="preserve">      签约日期：</w:t>
      </w:r>
      <w:r>
        <w:rPr>
          <w:rFonts w:hint="eastAsia" w:ascii="宋体" w:hAnsi="宋体"/>
          <w:color w:val="000000"/>
          <w:sz w:val="24"/>
          <w:lang w:val="en-US" w:eastAsia="zh-CN"/>
        </w:rPr>
        <w:t>****</w:t>
      </w:r>
      <w:r>
        <w:rPr>
          <w:rFonts w:hint="eastAsia" w:ascii="宋体" w:hAnsi="宋体"/>
          <w:color w:val="000000"/>
          <w:sz w:val="24"/>
        </w:rPr>
        <w:t>年</w:t>
      </w:r>
      <w:r>
        <w:rPr>
          <w:rFonts w:hint="eastAsia" w:ascii="宋体" w:hAnsi="宋体"/>
          <w:color w:val="000000"/>
          <w:sz w:val="24"/>
          <w:lang w:val="en-US" w:eastAsia="zh-CN"/>
        </w:rPr>
        <w:t>**</w:t>
      </w:r>
      <w:r>
        <w:rPr>
          <w:rFonts w:hint="eastAsia" w:ascii="宋体" w:hAnsi="宋体"/>
          <w:color w:val="000000"/>
          <w:sz w:val="24"/>
        </w:rPr>
        <w:t>月</w:t>
      </w:r>
      <w:r>
        <w:rPr>
          <w:rFonts w:hint="eastAsia" w:ascii="宋体" w:hAnsi="宋体"/>
          <w:color w:val="000000"/>
          <w:sz w:val="24"/>
          <w:lang w:val="en-US" w:eastAsia="zh-CN"/>
        </w:rPr>
        <w:t>**</w:t>
      </w:r>
      <w:r>
        <w:rPr>
          <w:rFonts w:hint="eastAsia" w:ascii="宋体" w:hAnsi="宋体"/>
          <w:color w:val="000000"/>
          <w:sz w:val="24"/>
        </w:rPr>
        <w:t>日</w:t>
      </w:r>
    </w:p>
    <w:p>
      <w:pPr>
        <w:keepNext w:val="0"/>
        <w:keepLines w:val="0"/>
        <w:pageBreakBefore w:val="0"/>
        <w:kinsoku/>
        <w:wordWrap/>
        <w:overflowPunct/>
        <w:topLinePunct w:val="0"/>
        <w:autoSpaceDE/>
        <w:autoSpaceDN/>
        <w:bidi w:val="0"/>
        <w:adjustRightInd/>
        <w:snapToGrid/>
        <w:spacing w:line="560" w:lineRule="exact"/>
        <w:ind w:firstLine="480" w:firstLineChars="200"/>
        <w:textAlignment w:val="auto"/>
        <w:rPr>
          <w:rFonts w:ascii="宋体" w:hAnsi="宋体" w:cs="宋体"/>
          <w:color w:val="000000"/>
          <w:sz w:val="24"/>
        </w:rPr>
      </w:pPr>
      <w:r>
        <w:rPr>
          <w:rFonts w:ascii="宋体" w:hAnsi="宋体" w:cs="宋体"/>
          <w:color w:val="000000"/>
          <w:sz w:val="24"/>
        </w:rPr>
        <w:softHyphen/>
      </w:r>
      <w:r>
        <w:rPr>
          <w:rFonts w:ascii="宋体" w:hAnsi="宋体" w:cs="宋体"/>
          <w:color w:val="000000"/>
          <w:sz w:val="24"/>
        </w:rPr>
        <w:softHyphen/>
      </w:r>
      <w:r>
        <w:rPr>
          <w:rFonts w:hint="eastAsia" w:ascii="宋体" w:hAnsi="宋体" w:cs="宋体"/>
          <w:color w:val="000000"/>
          <w:sz w:val="24"/>
        </w:rPr>
        <w:t>甲方委托</w:t>
      </w:r>
      <w:r>
        <w:rPr>
          <w:rFonts w:ascii="宋体" w:hAnsi="宋体" w:cs="宋体"/>
          <w:color w:val="333333"/>
          <w:kern w:val="0"/>
          <w:sz w:val="24"/>
        </w:rPr>
        <w:t>国家粮食浙江交易中心</w:t>
      </w:r>
      <w:r>
        <w:rPr>
          <w:rFonts w:hint="eastAsia" w:ascii="宋体" w:hAnsi="宋体" w:cs="宋体"/>
          <w:color w:val="000000"/>
          <w:sz w:val="24"/>
        </w:rPr>
        <w:t>通过网上交易方式采购粮食，</w:t>
      </w:r>
      <w:r>
        <w:rPr>
          <w:rFonts w:hint="eastAsia" w:ascii="宋体" w:hAnsi="宋体"/>
          <w:color w:val="000000"/>
          <w:sz w:val="24"/>
        </w:rPr>
        <w:t>乙方通过</w:t>
      </w:r>
      <w:r>
        <w:rPr>
          <w:rFonts w:hint="eastAsia" w:ascii="宋体" w:hAnsi="宋体" w:cs="宋体"/>
          <w:color w:val="000000"/>
          <w:sz w:val="24"/>
        </w:rPr>
        <w:t>公开竞价竞得，现依</w:t>
      </w:r>
      <w:r>
        <w:rPr>
          <w:rFonts w:hint="eastAsia" w:ascii="宋体" w:hAnsi="宋体" w:cs="宋体"/>
          <w:color w:val="auto"/>
          <w:sz w:val="24"/>
        </w:rPr>
        <w:t>照《民法典</w:t>
      </w:r>
      <w:r>
        <w:rPr>
          <w:rFonts w:hint="eastAsia" w:ascii="宋体" w:hAnsi="宋体" w:cs="宋体"/>
          <w:color w:val="000000"/>
          <w:sz w:val="24"/>
        </w:rPr>
        <w:t>》、《国家粮食</w:t>
      </w:r>
      <w:r>
        <w:rPr>
          <w:rFonts w:hint="eastAsia" w:ascii="宋体" w:hAnsi="宋体" w:cs="宋体"/>
          <w:color w:val="000000"/>
          <w:sz w:val="24"/>
          <w:lang w:val="en-US" w:eastAsia="zh-CN"/>
        </w:rPr>
        <w:t>浙江</w:t>
      </w:r>
      <w:r>
        <w:rPr>
          <w:rFonts w:hint="eastAsia" w:ascii="宋体" w:hAnsi="宋体" w:cs="宋体"/>
          <w:color w:val="000000"/>
          <w:sz w:val="24"/>
        </w:rPr>
        <w:t>交易中心网上竞价交易规则》和当期《交易公告》等有关规定，经采甲、乙</w:t>
      </w:r>
      <w:r>
        <w:rPr>
          <w:rFonts w:hint="eastAsia" w:ascii="宋体" w:hAnsi="宋体"/>
          <w:color w:val="000000"/>
          <w:sz w:val="24"/>
        </w:rPr>
        <w:t>双方协商，签订本合同如下。</w:t>
      </w:r>
    </w:p>
    <w:p>
      <w:pPr>
        <w:pStyle w:val="5"/>
        <w:keepNext w:val="0"/>
        <w:keepLines w:val="0"/>
        <w:pageBreakBefore w:val="0"/>
        <w:kinsoku/>
        <w:wordWrap/>
        <w:overflowPunct/>
        <w:topLinePunct w:val="0"/>
        <w:autoSpaceDE/>
        <w:autoSpaceDN/>
        <w:bidi w:val="0"/>
        <w:adjustRightInd/>
        <w:snapToGrid/>
        <w:spacing w:before="0" w:beforeAutospacing="0" w:after="0" w:afterAutospacing="0" w:line="560" w:lineRule="exact"/>
        <w:ind w:firstLine="480" w:firstLineChars="200"/>
        <w:textAlignment w:val="auto"/>
        <w:rPr>
          <w:color w:val="000000"/>
          <w:kern w:val="2"/>
        </w:rPr>
      </w:pPr>
      <w:r>
        <w:rPr>
          <w:rFonts w:hint="eastAsia"/>
          <w:color w:val="000000"/>
          <w:kern w:val="2"/>
        </w:rPr>
        <w:t>一、标的号、品种、等级、数量、单价、价款：</w:t>
      </w:r>
      <w:r>
        <w:rPr>
          <w:color w:val="000000"/>
          <w:kern w:val="2"/>
        </w:rPr>
        <w:t xml:space="preserve"> </w:t>
      </w:r>
    </w:p>
    <w:tbl>
      <w:tblPr>
        <w:tblStyle w:val="6"/>
        <w:tblW w:w="9317" w:type="dxa"/>
        <w:jc w:val="center"/>
        <w:tblBorders>
          <w:top w:val="outset" w:color="000000" w:themeColor="text1" w:sz="6" w:space="0"/>
          <w:left w:val="outset" w:color="000000" w:themeColor="text1" w:sz="6" w:space="0"/>
          <w:bottom w:val="outset" w:color="000000" w:themeColor="text1" w:sz="6" w:space="0"/>
          <w:right w:val="outset" w:color="000000" w:themeColor="text1" w:sz="6" w:space="0"/>
          <w:insideH w:val="outset" w:color="000000" w:themeColor="text1" w:sz="6" w:space="0"/>
          <w:insideV w:val="outset" w:color="000000" w:themeColor="text1" w:sz="6" w:space="0"/>
        </w:tblBorders>
        <w:tblLayout w:type="fixed"/>
        <w:tblCellMar>
          <w:top w:w="0" w:type="dxa"/>
          <w:left w:w="0" w:type="dxa"/>
          <w:bottom w:w="0" w:type="dxa"/>
          <w:right w:w="0" w:type="dxa"/>
        </w:tblCellMar>
      </w:tblPr>
      <w:tblGrid>
        <w:gridCol w:w="924"/>
        <w:gridCol w:w="993"/>
        <w:gridCol w:w="850"/>
        <w:gridCol w:w="1210"/>
        <w:gridCol w:w="1485"/>
        <w:gridCol w:w="1590"/>
        <w:gridCol w:w="2265"/>
      </w:tblGrid>
      <w:tr>
        <w:tblPrEx>
          <w:tblBorders>
            <w:top w:val="outset" w:color="000000" w:themeColor="text1" w:sz="6" w:space="0"/>
            <w:left w:val="outset" w:color="000000" w:themeColor="text1" w:sz="6" w:space="0"/>
            <w:bottom w:val="outset" w:color="000000" w:themeColor="text1" w:sz="6" w:space="0"/>
            <w:right w:val="outset" w:color="000000" w:themeColor="text1" w:sz="6" w:space="0"/>
            <w:insideH w:val="outset" w:color="000000" w:themeColor="text1" w:sz="6" w:space="0"/>
            <w:insideV w:val="outset" w:color="000000" w:themeColor="text1" w:sz="6" w:space="0"/>
          </w:tblBorders>
          <w:tblCellMar>
            <w:top w:w="0" w:type="dxa"/>
            <w:left w:w="0" w:type="dxa"/>
            <w:bottom w:w="0" w:type="dxa"/>
            <w:right w:w="0" w:type="dxa"/>
          </w:tblCellMar>
        </w:tblPrEx>
        <w:trPr>
          <w:trHeight w:val="567" w:hRule="atLeast"/>
          <w:jc w:val="center"/>
        </w:trPr>
        <w:tc>
          <w:tcPr>
            <w:tcW w:w="924" w:type="dxa"/>
            <w:tcBorders>
              <w:tl2br w:val="nil"/>
              <w:tr2bl w:val="nil"/>
            </w:tcBorders>
            <w:shd w:val="clear" w:color="auto" w:fill="FFFFFF"/>
            <w:vAlign w:val="center"/>
          </w:tcPr>
          <w:p>
            <w:pPr>
              <w:pStyle w:val="5"/>
              <w:spacing w:before="0" w:beforeAutospacing="0" w:after="0" w:afterAutospacing="0" w:line="580" w:lineRule="exact"/>
              <w:jc w:val="center"/>
              <w:rPr>
                <w:color w:val="000000" w:themeColor="text1"/>
              </w:rPr>
            </w:pPr>
            <w:r>
              <w:rPr>
                <w:rFonts w:hint="eastAsia"/>
                <w:color w:val="000000" w:themeColor="text1"/>
              </w:rPr>
              <w:t>标的号</w:t>
            </w:r>
            <w:r>
              <w:rPr>
                <w:color w:val="000000" w:themeColor="text1"/>
              </w:rPr>
              <w:t xml:space="preserve"> </w:t>
            </w:r>
          </w:p>
        </w:tc>
        <w:tc>
          <w:tcPr>
            <w:tcW w:w="993" w:type="dxa"/>
            <w:tcBorders>
              <w:tl2br w:val="nil"/>
              <w:tr2bl w:val="nil"/>
            </w:tcBorders>
            <w:shd w:val="clear" w:color="auto" w:fill="FFFFFF"/>
            <w:vAlign w:val="center"/>
          </w:tcPr>
          <w:p>
            <w:pPr>
              <w:pStyle w:val="5"/>
              <w:spacing w:before="0" w:beforeAutospacing="0" w:after="0" w:afterAutospacing="0" w:line="580" w:lineRule="exact"/>
              <w:jc w:val="center"/>
              <w:rPr>
                <w:color w:val="000000" w:themeColor="text1"/>
              </w:rPr>
            </w:pPr>
            <w:r>
              <w:rPr>
                <w:rFonts w:hint="eastAsia"/>
                <w:color w:val="000000" w:themeColor="text1"/>
              </w:rPr>
              <w:t>品种</w:t>
            </w:r>
            <w:r>
              <w:rPr>
                <w:color w:val="000000" w:themeColor="text1"/>
              </w:rPr>
              <w:t xml:space="preserve"> </w:t>
            </w:r>
          </w:p>
        </w:tc>
        <w:tc>
          <w:tcPr>
            <w:tcW w:w="850" w:type="dxa"/>
            <w:tcBorders>
              <w:tl2br w:val="nil"/>
              <w:tr2bl w:val="nil"/>
            </w:tcBorders>
            <w:shd w:val="clear" w:color="auto" w:fill="FFFFFF"/>
            <w:vAlign w:val="center"/>
          </w:tcPr>
          <w:p>
            <w:pPr>
              <w:pStyle w:val="5"/>
              <w:spacing w:before="0" w:beforeAutospacing="0" w:after="0" w:afterAutospacing="0" w:line="580" w:lineRule="exact"/>
              <w:jc w:val="center"/>
              <w:rPr>
                <w:color w:val="000000" w:themeColor="text1"/>
              </w:rPr>
            </w:pPr>
            <w:r>
              <w:rPr>
                <w:rFonts w:hint="eastAsia"/>
                <w:color w:val="000000" w:themeColor="text1"/>
              </w:rPr>
              <w:t>等级</w:t>
            </w:r>
            <w:r>
              <w:rPr>
                <w:color w:val="000000" w:themeColor="text1"/>
              </w:rPr>
              <w:t xml:space="preserve"> </w:t>
            </w:r>
          </w:p>
        </w:tc>
        <w:tc>
          <w:tcPr>
            <w:tcW w:w="1210" w:type="dxa"/>
            <w:tcBorders>
              <w:tl2br w:val="nil"/>
              <w:tr2bl w:val="nil"/>
            </w:tcBorders>
            <w:shd w:val="clear" w:color="auto" w:fill="FFFFFF"/>
            <w:vAlign w:val="center"/>
          </w:tcPr>
          <w:p>
            <w:pPr>
              <w:pStyle w:val="5"/>
              <w:spacing w:before="0" w:beforeAutospacing="0" w:after="0" w:afterAutospacing="0" w:line="580" w:lineRule="exact"/>
              <w:jc w:val="center"/>
              <w:rPr>
                <w:color w:val="000000" w:themeColor="text1"/>
              </w:rPr>
            </w:pPr>
            <w:r>
              <w:rPr>
                <w:rFonts w:hint="eastAsia"/>
                <w:color w:val="000000" w:themeColor="text1"/>
              </w:rPr>
              <w:t>数量（吨）</w:t>
            </w:r>
            <w:r>
              <w:rPr>
                <w:color w:val="000000" w:themeColor="text1"/>
              </w:rPr>
              <w:t xml:space="preserve"> </w:t>
            </w:r>
          </w:p>
        </w:tc>
        <w:tc>
          <w:tcPr>
            <w:tcW w:w="1485" w:type="dxa"/>
            <w:tcBorders>
              <w:tl2br w:val="nil"/>
              <w:tr2bl w:val="nil"/>
            </w:tcBorders>
            <w:shd w:val="clear" w:color="auto" w:fill="FFFFFF"/>
            <w:vAlign w:val="center"/>
          </w:tcPr>
          <w:p>
            <w:pPr>
              <w:pStyle w:val="5"/>
              <w:spacing w:before="0" w:beforeAutospacing="0" w:after="0" w:afterAutospacing="0" w:line="580" w:lineRule="exact"/>
              <w:jc w:val="center"/>
              <w:rPr>
                <w:color w:val="000000" w:themeColor="text1"/>
              </w:rPr>
            </w:pPr>
            <w:r>
              <w:rPr>
                <w:rFonts w:hint="eastAsia"/>
                <w:color w:val="000000" w:themeColor="text1"/>
              </w:rPr>
              <w:t>单价（元</w:t>
            </w:r>
            <w:r>
              <w:rPr>
                <w:color w:val="000000" w:themeColor="text1"/>
              </w:rPr>
              <w:t>/</w:t>
            </w:r>
            <w:r>
              <w:rPr>
                <w:rFonts w:hint="eastAsia"/>
                <w:color w:val="000000" w:themeColor="text1"/>
              </w:rPr>
              <w:t>吨）</w:t>
            </w:r>
            <w:r>
              <w:rPr>
                <w:color w:val="000000" w:themeColor="text1"/>
              </w:rPr>
              <w:t xml:space="preserve"> </w:t>
            </w:r>
          </w:p>
        </w:tc>
        <w:tc>
          <w:tcPr>
            <w:tcW w:w="1590" w:type="dxa"/>
            <w:tcBorders>
              <w:tl2br w:val="nil"/>
              <w:tr2bl w:val="nil"/>
            </w:tcBorders>
            <w:shd w:val="clear" w:color="auto" w:fill="FFFFFF"/>
          </w:tcPr>
          <w:p>
            <w:pPr>
              <w:pStyle w:val="5"/>
              <w:spacing w:before="0" w:beforeAutospacing="0" w:after="0" w:afterAutospacing="0" w:line="580" w:lineRule="exact"/>
              <w:jc w:val="center"/>
              <w:rPr>
                <w:color w:val="000000" w:themeColor="text1"/>
              </w:rPr>
            </w:pPr>
            <w:r>
              <w:rPr>
                <w:rFonts w:hint="eastAsia"/>
                <w:color w:val="000000" w:themeColor="text1"/>
              </w:rPr>
              <w:t>金额（元）</w:t>
            </w:r>
          </w:p>
        </w:tc>
        <w:tc>
          <w:tcPr>
            <w:tcW w:w="2265" w:type="dxa"/>
            <w:tcBorders>
              <w:tl2br w:val="nil"/>
              <w:tr2bl w:val="nil"/>
            </w:tcBorders>
            <w:shd w:val="clear" w:color="auto" w:fill="FFFFFF"/>
            <w:vAlign w:val="center"/>
          </w:tcPr>
          <w:p>
            <w:pPr>
              <w:pStyle w:val="5"/>
              <w:spacing w:before="0" w:beforeAutospacing="0" w:after="0" w:afterAutospacing="0" w:line="580" w:lineRule="exact"/>
              <w:jc w:val="center"/>
              <w:rPr>
                <w:color w:val="000000" w:themeColor="text1"/>
              </w:rPr>
            </w:pPr>
            <w:r>
              <w:rPr>
                <w:rFonts w:hint="eastAsia"/>
                <w:color w:val="000000" w:themeColor="text1"/>
              </w:rPr>
              <w:t>入库仓号</w:t>
            </w:r>
          </w:p>
        </w:tc>
      </w:tr>
      <w:tr>
        <w:tblPrEx>
          <w:tblBorders>
            <w:top w:val="outset" w:color="000000" w:themeColor="text1" w:sz="6" w:space="0"/>
            <w:left w:val="outset" w:color="000000" w:themeColor="text1" w:sz="6" w:space="0"/>
            <w:bottom w:val="outset" w:color="000000" w:themeColor="text1" w:sz="6" w:space="0"/>
            <w:right w:val="outset" w:color="000000" w:themeColor="text1" w:sz="6" w:space="0"/>
            <w:insideH w:val="outset" w:color="000000" w:themeColor="text1" w:sz="6" w:space="0"/>
            <w:insideV w:val="outset" w:color="000000" w:themeColor="text1" w:sz="6" w:space="0"/>
          </w:tblBorders>
          <w:tblCellMar>
            <w:top w:w="0" w:type="dxa"/>
            <w:left w:w="0" w:type="dxa"/>
            <w:bottom w:w="0" w:type="dxa"/>
            <w:right w:w="0" w:type="dxa"/>
          </w:tblCellMar>
        </w:tblPrEx>
        <w:trPr>
          <w:trHeight w:val="567" w:hRule="atLeast"/>
          <w:jc w:val="center"/>
        </w:trPr>
        <w:tc>
          <w:tcPr>
            <w:tcW w:w="924" w:type="dxa"/>
            <w:tcBorders>
              <w:tl2br w:val="nil"/>
              <w:tr2bl w:val="nil"/>
            </w:tcBorders>
            <w:shd w:val="clear" w:color="auto" w:fill="FFFFFF"/>
            <w:vAlign w:val="center"/>
          </w:tcPr>
          <w:p>
            <w:pPr>
              <w:pStyle w:val="5"/>
              <w:jc w:val="center"/>
              <w:rPr>
                <w:rFonts w:hint="default"/>
                <w:color w:val="000000" w:themeColor="text1"/>
                <w:lang w:val="en-US" w:eastAsia="zh-CN"/>
              </w:rPr>
            </w:pPr>
            <w:r>
              <w:rPr>
                <w:rFonts w:hint="eastAsia"/>
                <w:color w:val="000000" w:themeColor="text1"/>
                <w:lang w:val="en-US" w:eastAsia="zh-CN"/>
              </w:rPr>
              <w:t>01</w:t>
            </w:r>
          </w:p>
        </w:tc>
        <w:tc>
          <w:tcPr>
            <w:tcW w:w="993" w:type="dxa"/>
            <w:tcBorders>
              <w:tl2br w:val="nil"/>
              <w:tr2bl w:val="nil"/>
            </w:tcBorders>
            <w:shd w:val="clear" w:color="auto" w:fill="FFFFFF"/>
            <w:vAlign w:val="center"/>
          </w:tcPr>
          <w:p>
            <w:pPr>
              <w:pStyle w:val="5"/>
              <w:jc w:val="center"/>
              <w:rPr>
                <w:rFonts w:hint="eastAsia" w:ascii="宋体" w:hAnsi="宋体" w:eastAsia="宋体" w:cs="宋体"/>
                <w:color w:val="000000" w:themeColor="text1"/>
                <w:kern w:val="0"/>
                <w:sz w:val="24"/>
                <w:szCs w:val="24"/>
                <w:lang w:val="en-US" w:eastAsia="zh-CN" w:bidi="ar-SA"/>
              </w:rPr>
            </w:pPr>
            <w:r>
              <w:rPr>
                <w:rFonts w:hint="eastAsia"/>
                <w:color w:val="000000" w:themeColor="text1"/>
                <w:lang w:val="en-US" w:eastAsia="zh-CN"/>
              </w:rPr>
              <w:t>粳米</w:t>
            </w:r>
          </w:p>
        </w:tc>
        <w:tc>
          <w:tcPr>
            <w:tcW w:w="850" w:type="dxa"/>
            <w:tcBorders>
              <w:tl2br w:val="nil"/>
              <w:tr2bl w:val="nil"/>
            </w:tcBorders>
            <w:shd w:val="clear" w:color="auto" w:fill="FFFFFF"/>
            <w:vAlign w:val="center"/>
          </w:tcPr>
          <w:p>
            <w:pPr>
              <w:pStyle w:val="5"/>
              <w:jc w:val="center"/>
              <w:rPr>
                <w:rFonts w:hint="eastAsia" w:ascii="宋体" w:hAnsi="宋体" w:eastAsia="宋体" w:cs="宋体"/>
                <w:color w:val="000000" w:themeColor="text1"/>
                <w:kern w:val="0"/>
                <w:sz w:val="24"/>
                <w:szCs w:val="24"/>
                <w:lang w:val="en-US" w:eastAsia="zh-CN" w:bidi="ar-SA"/>
              </w:rPr>
            </w:pPr>
            <w:r>
              <w:rPr>
                <w:rFonts w:hint="eastAsia"/>
                <w:color w:val="000000" w:themeColor="text1"/>
              </w:rPr>
              <w:t>二级</w:t>
            </w:r>
          </w:p>
        </w:tc>
        <w:tc>
          <w:tcPr>
            <w:tcW w:w="1210" w:type="dxa"/>
            <w:tcBorders>
              <w:tl2br w:val="nil"/>
              <w:tr2bl w:val="nil"/>
            </w:tcBorders>
            <w:shd w:val="clear" w:color="auto" w:fill="FFFFFF"/>
            <w:vAlign w:val="center"/>
          </w:tcPr>
          <w:p>
            <w:pPr>
              <w:pStyle w:val="5"/>
              <w:jc w:val="center"/>
              <w:rPr>
                <w:rFonts w:hint="eastAsia" w:ascii="宋体" w:hAnsi="宋体" w:eastAsia="宋体" w:cs="宋体"/>
                <w:color w:val="000000" w:themeColor="text1"/>
                <w:kern w:val="0"/>
                <w:sz w:val="24"/>
                <w:szCs w:val="24"/>
                <w:lang w:val="en-US" w:eastAsia="zh-CN" w:bidi="ar-SA"/>
              </w:rPr>
            </w:pPr>
          </w:p>
        </w:tc>
        <w:tc>
          <w:tcPr>
            <w:tcW w:w="148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color w:val="000000" w:themeColor="text1"/>
                <w:kern w:val="0"/>
                <w:sz w:val="24"/>
                <w:szCs w:val="24"/>
                <w:lang w:val="en-US" w:eastAsia="zh-CN" w:bidi="ar-SA"/>
              </w:rPr>
            </w:pPr>
          </w:p>
        </w:tc>
        <w:tc>
          <w:tcPr>
            <w:tcW w:w="1590"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color w:val="000000" w:themeColor="text1"/>
                <w:kern w:val="0"/>
                <w:sz w:val="24"/>
                <w:szCs w:val="24"/>
                <w:lang w:val="en-US" w:eastAsia="zh-CN" w:bidi="ar-SA"/>
              </w:rPr>
            </w:pPr>
          </w:p>
        </w:tc>
        <w:tc>
          <w:tcPr>
            <w:tcW w:w="2265" w:type="dxa"/>
            <w:tcBorders>
              <w:tl2br w:val="nil"/>
              <w:tr2bl w:val="nil"/>
            </w:tcBorders>
            <w:shd w:val="clear" w:color="auto" w:fill="FFFFFF"/>
            <w:vAlign w:val="center"/>
          </w:tcPr>
          <w:p>
            <w:pPr>
              <w:pStyle w:val="5"/>
              <w:jc w:val="center"/>
              <w:rPr>
                <w:rFonts w:hint="default" w:ascii="宋体" w:hAnsi="宋体" w:eastAsia="宋体" w:cs="宋体"/>
                <w:color w:val="000000" w:themeColor="text1"/>
                <w:kern w:val="0"/>
                <w:sz w:val="24"/>
                <w:szCs w:val="24"/>
                <w:lang w:val="en-US" w:eastAsia="zh-CN" w:bidi="ar-SA"/>
              </w:rPr>
            </w:pPr>
          </w:p>
        </w:tc>
      </w:tr>
      <w:tr>
        <w:tblPrEx>
          <w:tblBorders>
            <w:top w:val="outset" w:color="000000" w:themeColor="text1" w:sz="6" w:space="0"/>
            <w:left w:val="outset" w:color="000000" w:themeColor="text1" w:sz="6" w:space="0"/>
            <w:bottom w:val="outset" w:color="000000" w:themeColor="text1" w:sz="6" w:space="0"/>
            <w:right w:val="outset" w:color="000000" w:themeColor="text1" w:sz="6" w:space="0"/>
            <w:insideH w:val="outset" w:color="000000" w:themeColor="text1" w:sz="6" w:space="0"/>
            <w:insideV w:val="outset" w:color="000000" w:themeColor="text1" w:sz="6" w:space="0"/>
          </w:tblBorders>
          <w:tblCellMar>
            <w:top w:w="0" w:type="dxa"/>
            <w:left w:w="0" w:type="dxa"/>
            <w:bottom w:w="0" w:type="dxa"/>
            <w:right w:w="0" w:type="dxa"/>
          </w:tblCellMar>
        </w:tblPrEx>
        <w:trPr>
          <w:trHeight w:val="567" w:hRule="atLeast"/>
          <w:jc w:val="center"/>
        </w:trPr>
        <w:tc>
          <w:tcPr>
            <w:tcW w:w="924" w:type="dxa"/>
            <w:tcBorders>
              <w:tl2br w:val="nil"/>
              <w:tr2bl w:val="nil"/>
            </w:tcBorders>
            <w:shd w:val="clear" w:color="auto" w:fill="FFFFFF"/>
            <w:vAlign w:val="center"/>
          </w:tcPr>
          <w:p>
            <w:pPr>
              <w:pStyle w:val="5"/>
              <w:jc w:val="center"/>
              <w:rPr>
                <w:rFonts w:hint="eastAsia"/>
                <w:color w:val="000000" w:themeColor="text1"/>
                <w:lang w:val="en-US" w:eastAsia="zh-CN"/>
              </w:rPr>
            </w:pPr>
            <w:r>
              <w:rPr>
                <w:rFonts w:hint="eastAsia"/>
                <w:color w:val="000000" w:themeColor="text1"/>
                <w:lang w:val="en-US" w:eastAsia="zh-CN"/>
              </w:rPr>
              <w:t>合计</w:t>
            </w:r>
          </w:p>
        </w:tc>
        <w:tc>
          <w:tcPr>
            <w:tcW w:w="993" w:type="dxa"/>
            <w:tcBorders>
              <w:tl2br w:val="nil"/>
              <w:tr2bl w:val="nil"/>
            </w:tcBorders>
            <w:shd w:val="clear" w:color="auto" w:fill="FFFFFF"/>
            <w:vAlign w:val="center"/>
          </w:tcPr>
          <w:p>
            <w:pPr>
              <w:pStyle w:val="5"/>
              <w:jc w:val="center"/>
              <w:rPr>
                <w:rFonts w:hint="eastAsia"/>
                <w:color w:val="000000" w:themeColor="text1"/>
                <w:lang w:val="en-US" w:eastAsia="zh-CN"/>
              </w:rPr>
            </w:pPr>
          </w:p>
        </w:tc>
        <w:tc>
          <w:tcPr>
            <w:tcW w:w="850" w:type="dxa"/>
            <w:tcBorders>
              <w:tl2br w:val="nil"/>
              <w:tr2bl w:val="nil"/>
            </w:tcBorders>
            <w:shd w:val="clear" w:color="auto" w:fill="FFFFFF"/>
            <w:vAlign w:val="center"/>
          </w:tcPr>
          <w:p>
            <w:pPr>
              <w:pStyle w:val="5"/>
              <w:jc w:val="center"/>
              <w:rPr>
                <w:rFonts w:hint="eastAsia"/>
                <w:color w:val="000000" w:themeColor="text1"/>
                <w:lang w:val="en-US" w:eastAsia="zh-CN"/>
              </w:rPr>
            </w:pPr>
          </w:p>
        </w:tc>
        <w:tc>
          <w:tcPr>
            <w:tcW w:w="1210" w:type="dxa"/>
            <w:tcBorders>
              <w:tl2br w:val="nil"/>
              <w:tr2bl w:val="nil"/>
            </w:tcBorders>
            <w:shd w:val="clear" w:color="auto" w:fill="FFFFFF"/>
            <w:vAlign w:val="center"/>
          </w:tcPr>
          <w:p>
            <w:pPr>
              <w:pStyle w:val="5"/>
              <w:jc w:val="center"/>
              <w:rPr>
                <w:rFonts w:hint="eastAsia"/>
                <w:color w:val="000000" w:themeColor="text1"/>
                <w:lang w:val="en-US" w:eastAsia="zh-CN"/>
              </w:rPr>
            </w:pPr>
          </w:p>
        </w:tc>
        <w:tc>
          <w:tcPr>
            <w:tcW w:w="1485" w:type="dxa"/>
            <w:tcBorders>
              <w:tl2br w:val="nil"/>
              <w:tr2bl w:val="nil"/>
            </w:tcBorders>
            <w:shd w:val="clear" w:color="auto" w:fill="FFFFFF"/>
            <w:vAlign w:val="center"/>
          </w:tcPr>
          <w:p>
            <w:pPr>
              <w:pStyle w:val="5"/>
              <w:jc w:val="center"/>
              <w:rPr>
                <w:rFonts w:hint="eastAsia" w:ascii="宋体" w:hAnsi="宋体" w:eastAsia="宋体" w:cs="宋体"/>
                <w:color w:val="000000" w:themeColor="text1"/>
                <w:kern w:val="0"/>
                <w:sz w:val="24"/>
                <w:szCs w:val="24"/>
                <w:lang w:val="en-US" w:eastAsia="zh-CN" w:bidi="ar-SA"/>
              </w:rPr>
            </w:pPr>
          </w:p>
        </w:tc>
        <w:tc>
          <w:tcPr>
            <w:tcW w:w="1590" w:type="dxa"/>
            <w:tcBorders>
              <w:tl2br w:val="nil"/>
              <w:tr2bl w:val="nil"/>
            </w:tcBorders>
            <w:shd w:val="clear" w:color="auto" w:fill="FFFFFF"/>
            <w:vAlign w:val="center"/>
          </w:tcPr>
          <w:p>
            <w:pPr>
              <w:pStyle w:val="5"/>
              <w:jc w:val="center"/>
              <w:rPr>
                <w:rFonts w:hint="default" w:ascii="宋体" w:hAnsi="宋体" w:eastAsia="宋体" w:cs="宋体"/>
                <w:color w:val="000000" w:themeColor="text1"/>
                <w:kern w:val="0"/>
                <w:sz w:val="24"/>
                <w:szCs w:val="24"/>
                <w:lang w:val="en-US" w:eastAsia="zh-CN" w:bidi="ar-SA"/>
              </w:rPr>
            </w:pPr>
          </w:p>
        </w:tc>
        <w:tc>
          <w:tcPr>
            <w:tcW w:w="2265" w:type="dxa"/>
            <w:tcBorders>
              <w:tl2br w:val="nil"/>
              <w:tr2bl w:val="nil"/>
            </w:tcBorders>
            <w:shd w:val="clear" w:color="auto" w:fill="FFFFFF"/>
            <w:vAlign w:val="center"/>
          </w:tcPr>
          <w:p>
            <w:pPr>
              <w:pStyle w:val="5"/>
              <w:jc w:val="center"/>
              <w:rPr>
                <w:rFonts w:hint="eastAsia"/>
                <w:color w:val="000000" w:themeColor="text1"/>
                <w:lang w:val="en-US" w:eastAsia="zh-CN"/>
              </w:rPr>
            </w:pPr>
          </w:p>
        </w:tc>
      </w:tr>
      <w:tr>
        <w:tblPrEx>
          <w:tblBorders>
            <w:top w:val="outset" w:color="000000" w:themeColor="text1" w:sz="6" w:space="0"/>
            <w:left w:val="outset" w:color="000000" w:themeColor="text1" w:sz="6" w:space="0"/>
            <w:bottom w:val="outset" w:color="000000" w:themeColor="text1" w:sz="6" w:space="0"/>
            <w:right w:val="outset" w:color="000000" w:themeColor="text1" w:sz="6" w:space="0"/>
            <w:insideH w:val="outset" w:color="000000" w:themeColor="text1" w:sz="6" w:space="0"/>
            <w:insideV w:val="outset" w:color="000000" w:themeColor="text1" w:sz="6" w:space="0"/>
          </w:tblBorders>
          <w:tblCellMar>
            <w:top w:w="0" w:type="dxa"/>
            <w:left w:w="0" w:type="dxa"/>
            <w:bottom w:w="0" w:type="dxa"/>
            <w:right w:w="0" w:type="dxa"/>
          </w:tblCellMar>
        </w:tblPrEx>
        <w:trPr>
          <w:trHeight w:val="567" w:hRule="atLeast"/>
          <w:jc w:val="center"/>
        </w:trPr>
        <w:tc>
          <w:tcPr>
            <w:tcW w:w="9317" w:type="dxa"/>
            <w:gridSpan w:val="7"/>
            <w:tcBorders>
              <w:tl2br w:val="nil"/>
              <w:tr2bl w:val="nil"/>
            </w:tcBorders>
            <w:shd w:val="clear" w:color="auto" w:fill="FFFFFF"/>
          </w:tcPr>
          <w:p>
            <w:pPr>
              <w:pStyle w:val="5"/>
              <w:spacing w:before="0" w:beforeAutospacing="0" w:after="0" w:afterAutospacing="0" w:line="580" w:lineRule="exact"/>
              <w:rPr>
                <w:color w:val="000000" w:themeColor="text1"/>
              </w:rPr>
            </w:pPr>
            <w:r>
              <w:rPr>
                <w:rFonts w:hint="eastAsia"/>
                <w:color w:val="000000" w:themeColor="text1"/>
              </w:rPr>
              <w:t>合计人民币（大写金额）：</w:t>
            </w:r>
            <w:r>
              <w:rPr>
                <w:rFonts w:hint="eastAsia"/>
                <w:color w:val="000000" w:themeColor="text1"/>
                <w:lang w:val="en-US" w:eastAsia="zh-CN"/>
              </w:rPr>
              <w:t xml:space="preserve">                   </w:t>
            </w:r>
            <w:r>
              <w:rPr>
                <w:rFonts w:hint="eastAsia"/>
                <w:color w:val="000000" w:themeColor="text1"/>
              </w:rPr>
              <w:t xml:space="preserve">  </w:t>
            </w:r>
            <w:r>
              <w:rPr>
                <w:rFonts w:hint="eastAsia"/>
                <w:color w:val="000000" w:themeColor="text1"/>
                <w:lang w:val="en-US" w:eastAsia="zh-CN"/>
              </w:rPr>
              <w:t xml:space="preserve">            </w:t>
            </w:r>
            <w:r>
              <w:rPr>
                <w:rFonts w:hint="eastAsia"/>
                <w:color w:val="000000" w:themeColor="text1"/>
                <w:sz w:val="24"/>
                <w:szCs w:val="24"/>
              </w:rPr>
              <w:t>￥</w:t>
            </w:r>
            <w:r>
              <w:rPr>
                <w:rFonts w:hint="eastAsia" w:ascii="宋体" w:hAnsi="宋体" w:eastAsia="宋体" w:cs="宋体"/>
                <w:color w:val="000000" w:themeColor="text1"/>
                <w:kern w:val="0"/>
                <w:sz w:val="24"/>
                <w:szCs w:val="24"/>
                <w:lang w:val="en-US" w:eastAsia="zh-CN" w:bidi="ar-SA"/>
              </w:rPr>
              <w:t xml:space="preserve"> </w:t>
            </w:r>
          </w:p>
        </w:tc>
      </w:tr>
    </w:tbl>
    <w:p>
      <w:pPr>
        <w:keepNext w:val="0"/>
        <w:keepLines w:val="0"/>
        <w:pageBreakBefore w:val="0"/>
        <w:widowControl/>
        <w:kinsoku/>
        <w:wordWrap/>
        <w:overflowPunct/>
        <w:topLinePunct w:val="0"/>
        <w:autoSpaceDE/>
        <w:autoSpaceDN/>
        <w:bidi w:val="0"/>
        <w:adjustRightInd w:val="0"/>
        <w:snapToGrid w:val="0"/>
        <w:spacing w:line="560" w:lineRule="exact"/>
        <w:ind w:firstLine="480" w:firstLineChars="200"/>
        <w:jc w:val="left"/>
        <w:textAlignment w:val="auto"/>
        <w:rPr>
          <w:rFonts w:ascii="宋体" w:hAnsi="宋体" w:cs="宋体"/>
          <w:color w:val="FF0000"/>
          <w:kern w:val="0"/>
          <w:sz w:val="24"/>
        </w:rPr>
      </w:pPr>
      <w:r>
        <w:rPr>
          <w:rFonts w:hint="eastAsia" w:ascii="宋体" w:hAnsi="宋体" w:cs="宋体"/>
          <w:color w:val="000000"/>
          <w:kern w:val="0"/>
          <w:sz w:val="24"/>
        </w:rPr>
        <w:t>二、质量标准：</w:t>
      </w:r>
      <w:r>
        <w:rPr>
          <w:rFonts w:hint="eastAsia" w:ascii="宋体" w:hAnsi="宋体" w:cs="宋体"/>
          <w:kern w:val="0"/>
          <w:sz w:val="24"/>
        </w:rPr>
        <w:t>符合</w:t>
      </w:r>
      <w:r>
        <w:rPr>
          <w:rFonts w:hint="eastAsia" w:ascii="宋体" w:hAnsi="宋体"/>
          <w:kern w:val="0"/>
          <w:sz w:val="24"/>
        </w:rPr>
        <w:t>GB1354-2018大米</w:t>
      </w:r>
      <w:r>
        <w:rPr>
          <w:rFonts w:hint="eastAsia" w:ascii="宋体" w:hAnsi="宋体" w:cs="宋体"/>
          <w:kern w:val="0"/>
          <w:sz w:val="24"/>
        </w:rPr>
        <w:t>二级标准及GB2715-2016食品国家安全标准（粮食）。</w:t>
      </w:r>
      <w:r>
        <w:rPr>
          <w:rFonts w:hint="eastAsia" w:ascii="宋体" w:hAnsi="宋体" w:cs="宋体"/>
          <w:kern w:val="0"/>
          <w:sz w:val="24"/>
          <w:lang w:val="en-US" w:eastAsia="zh-CN"/>
        </w:rPr>
        <w:t>品种</w:t>
      </w:r>
      <w:r>
        <w:rPr>
          <w:rFonts w:hint="eastAsia" w:ascii="宋体" w:hAnsi="宋体"/>
          <w:sz w:val="24"/>
          <w:lang w:val="en-US" w:eastAsia="zh-CN"/>
        </w:rPr>
        <w:t>要求是</w:t>
      </w:r>
      <w:r>
        <w:rPr>
          <w:rFonts w:hint="eastAsia" w:ascii="宋体" w:hAnsi="宋体"/>
          <w:sz w:val="24"/>
        </w:rPr>
        <w:t>202</w:t>
      </w:r>
      <w:r>
        <w:rPr>
          <w:rFonts w:hint="eastAsia" w:ascii="宋体" w:hAnsi="宋体"/>
          <w:sz w:val="24"/>
          <w:lang w:val="en-US" w:eastAsia="zh-CN"/>
        </w:rPr>
        <w:t>5</w:t>
      </w:r>
      <w:r>
        <w:rPr>
          <w:rFonts w:hint="eastAsia" w:ascii="宋体" w:hAnsi="宋体"/>
          <w:sz w:val="24"/>
        </w:rPr>
        <w:t>年</w:t>
      </w:r>
      <w:r>
        <w:rPr>
          <w:rFonts w:hint="eastAsia" w:ascii="宋体" w:hAnsi="宋体"/>
          <w:sz w:val="24"/>
          <w:lang w:val="en-US" w:eastAsia="zh-CN"/>
        </w:rPr>
        <w:t>11</w:t>
      </w:r>
      <w:r>
        <w:rPr>
          <w:rFonts w:hint="eastAsia" w:ascii="宋体" w:hAnsi="宋体"/>
          <w:sz w:val="24"/>
        </w:rPr>
        <w:t>月</w:t>
      </w:r>
      <w:r>
        <w:rPr>
          <w:rFonts w:hint="eastAsia" w:ascii="宋体" w:hAnsi="宋体"/>
          <w:sz w:val="24"/>
          <w:lang w:val="en-US" w:eastAsia="zh-CN"/>
        </w:rPr>
        <w:t>25</w:t>
      </w:r>
      <w:r>
        <w:rPr>
          <w:rFonts w:hint="eastAsia" w:ascii="宋体" w:hAnsi="宋体"/>
          <w:sz w:val="24"/>
        </w:rPr>
        <w:t>日以后生产</w:t>
      </w:r>
      <w:r>
        <w:rPr>
          <w:rFonts w:hint="eastAsia" w:ascii="宋体" w:hAnsi="宋体"/>
          <w:sz w:val="24"/>
          <w:lang w:val="en-US" w:eastAsia="zh-CN"/>
        </w:rPr>
        <w:t>的</w:t>
      </w:r>
      <w:r>
        <w:rPr>
          <w:rFonts w:hint="eastAsia" w:ascii="宋体" w:hAnsi="宋体"/>
          <w:sz w:val="24"/>
        </w:rPr>
        <w:t>由202</w:t>
      </w:r>
      <w:r>
        <w:rPr>
          <w:rFonts w:hint="eastAsia" w:ascii="宋体" w:hAnsi="宋体"/>
          <w:sz w:val="24"/>
          <w:lang w:val="en-US" w:eastAsia="zh-CN"/>
        </w:rPr>
        <w:t>4</w:t>
      </w:r>
      <w:r>
        <w:rPr>
          <w:rFonts w:hint="eastAsia" w:ascii="宋体" w:hAnsi="宋体"/>
          <w:sz w:val="24"/>
        </w:rPr>
        <w:t>年产</w:t>
      </w:r>
      <w:r>
        <w:rPr>
          <w:rFonts w:hint="eastAsia" w:ascii="宋体" w:hAnsi="宋体"/>
          <w:sz w:val="24"/>
          <w:lang w:val="en-US" w:eastAsia="zh-CN"/>
        </w:rPr>
        <w:t>粳</w:t>
      </w:r>
      <w:r>
        <w:rPr>
          <w:rFonts w:hint="eastAsia" w:ascii="宋体" w:hAnsi="宋体"/>
          <w:sz w:val="24"/>
        </w:rPr>
        <w:t>稻谷加工成的</w:t>
      </w:r>
      <w:r>
        <w:rPr>
          <w:rFonts w:hint="eastAsia" w:ascii="宋体" w:hAnsi="宋体"/>
          <w:sz w:val="24"/>
          <w:lang w:val="en-US" w:eastAsia="zh-CN"/>
        </w:rPr>
        <w:t>粳米</w:t>
      </w:r>
      <w:r>
        <w:rPr>
          <w:rFonts w:hint="eastAsia" w:ascii="宋体" w:hAnsi="宋体"/>
          <w:sz w:val="24"/>
          <w:lang w:eastAsia="zh-CN"/>
        </w:rPr>
        <w:t>，</w:t>
      </w:r>
      <w:r>
        <w:rPr>
          <w:rFonts w:hint="eastAsia" w:ascii="宋体" w:hAnsi="宋体"/>
          <w:sz w:val="24"/>
          <w:lang w:val="en-US" w:eastAsia="zh-CN"/>
        </w:rPr>
        <w:t>发运粮食</w:t>
      </w:r>
      <w:r>
        <w:rPr>
          <w:rFonts w:hint="eastAsia" w:ascii="宋体" w:hAnsi="宋体"/>
          <w:sz w:val="24"/>
        </w:rPr>
        <w:t>温</w:t>
      </w:r>
      <w:r>
        <w:rPr>
          <w:rFonts w:hint="eastAsia" w:ascii="宋体" w:hAnsi="宋体"/>
          <w:color w:val="auto"/>
          <w:sz w:val="24"/>
        </w:rPr>
        <w:t>度要求降到</w:t>
      </w:r>
      <w:r>
        <w:rPr>
          <w:rFonts w:hint="eastAsia" w:ascii="宋体" w:hAnsi="宋体"/>
          <w:b/>
          <w:bCs/>
          <w:color w:val="auto"/>
          <w:sz w:val="24"/>
        </w:rPr>
        <w:t>常温</w:t>
      </w:r>
      <w:r>
        <w:rPr>
          <w:rFonts w:hint="eastAsia" w:ascii="宋体" w:hAnsi="宋体"/>
          <w:color w:val="auto"/>
          <w:sz w:val="24"/>
        </w:rPr>
        <w:t>，</w:t>
      </w:r>
      <w:r>
        <w:rPr>
          <w:rFonts w:hint="eastAsia" w:ascii="宋体" w:hAnsi="宋体" w:cs="宋体"/>
          <w:color w:val="auto"/>
          <w:kern w:val="0"/>
          <w:sz w:val="24"/>
        </w:rPr>
        <w:t>其中水分≤</w:t>
      </w:r>
      <w:r>
        <w:rPr>
          <w:rFonts w:hint="eastAsia" w:ascii="宋体" w:hAnsi="宋体"/>
          <w:color w:val="auto"/>
          <w:kern w:val="0"/>
          <w:sz w:val="24"/>
        </w:rPr>
        <w:t>1</w:t>
      </w:r>
      <w:r>
        <w:rPr>
          <w:rFonts w:hint="eastAsia" w:ascii="宋体" w:hAnsi="宋体"/>
          <w:color w:val="auto"/>
          <w:kern w:val="0"/>
          <w:sz w:val="24"/>
          <w:lang w:val="en-US" w:eastAsia="zh-CN"/>
        </w:rPr>
        <w:t>4</w:t>
      </w:r>
      <w:r>
        <w:rPr>
          <w:rFonts w:hint="eastAsia" w:ascii="宋体" w:hAnsi="宋体"/>
          <w:color w:val="auto"/>
          <w:kern w:val="0"/>
          <w:sz w:val="24"/>
        </w:rPr>
        <w:t>.5%，黄粒米≤0.5%，</w:t>
      </w:r>
      <w:r>
        <w:rPr>
          <w:rFonts w:hint="eastAsia" w:ascii="宋体" w:hAnsi="宋体" w:cs="宋体"/>
          <w:color w:val="auto"/>
          <w:kern w:val="0"/>
          <w:sz w:val="24"/>
          <w:szCs w:val="22"/>
        </w:rPr>
        <w:t>要求同一标段同一粒型，</w:t>
      </w:r>
      <w:r>
        <w:rPr>
          <w:rFonts w:hint="eastAsia" w:ascii="宋体" w:hAnsi="宋体" w:cs="宋体"/>
          <w:color w:val="auto"/>
          <w:kern w:val="0"/>
          <w:sz w:val="24"/>
        </w:rPr>
        <w:t>保质期为</w:t>
      </w:r>
      <w:r>
        <w:rPr>
          <w:rFonts w:hint="eastAsia" w:ascii="宋体" w:hAnsi="宋体"/>
          <w:color w:val="auto"/>
          <w:kern w:val="0"/>
          <w:sz w:val="24"/>
        </w:rPr>
        <w:t>1</w:t>
      </w:r>
      <w:r>
        <w:rPr>
          <w:rFonts w:hint="eastAsia" w:ascii="宋体" w:hAnsi="宋体"/>
          <w:color w:val="auto"/>
          <w:kern w:val="0"/>
          <w:sz w:val="24"/>
          <w:lang w:val="en-US" w:eastAsia="zh-CN"/>
        </w:rPr>
        <w:t>8</w:t>
      </w:r>
      <w:r>
        <w:rPr>
          <w:rFonts w:hint="eastAsia" w:ascii="宋体" w:hAnsi="宋体" w:cs="宋体"/>
          <w:color w:val="auto"/>
          <w:kern w:val="0"/>
          <w:sz w:val="24"/>
        </w:rPr>
        <w:t>个月。</w:t>
      </w:r>
    </w:p>
    <w:p>
      <w:pPr>
        <w:keepNext w:val="0"/>
        <w:keepLines w:val="0"/>
        <w:pageBreakBefore w:val="0"/>
        <w:widowControl/>
        <w:kinsoku/>
        <w:wordWrap/>
        <w:overflowPunct/>
        <w:topLinePunct w:val="0"/>
        <w:autoSpaceDE/>
        <w:autoSpaceDN/>
        <w:bidi w:val="0"/>
        <w:adjustRightInd w:val="0"/>
        <w:snapToGrid w:val="0"/>
        <w:spacing w:line="560" w:lineRule="exact"/>
        <w:ind w:firstLine="480" w:firstLineChars="200"/>
        <w:jc w:val="left"/>
        <w:textAlignment w:val="auto"/>
        <w:rPr>
          <w:rFonts w:hint="eastAsia" w:ascii="宋体" w:hAnsi="宋体"/>
          <w:color w:val="auto"/>
          <w:sz w:val="24"/>
        </w:rPr>
      </w:pPr>
      <w:r>
        <w:rPr>
          <w:rFonts w:hint="eastAsia" w:ascii="宋体" w:hAnsi="宋体" w:cs="宋体"/>
          <w:color w:val="000000"/>
          <w:kern w:val="0"/>
          <w:sz w:val="24"/>
        </w:rPr>
        <w:t>三、</w:t>
      </w:r>
      <w:r>
        <w:rPr>
          <w:rFonts w:hint="eastAsia" w:ascii="宋体" w:hAnsi="宋体" w:cs="宋体"/>
          <w:color w:val="auto"/>
          <w:kern w:val="0"/>
          <w:sz w:val="24"/>
        </w:rPr>
        <w:t>交货时间</w:t>
      </w:r>
      <w:r>
        <w:rPr>
          <w:rFonts w:hint="eastAsia" w:ascii="宋体" w:hAnsi="宋体"/>
          <w:color w:val="auto"/>
          <w:sz w:val="24"/>
        </w:rPr>
        <w:t>：要求</w:t>
      </w:r>
      <w:r>
        <w:rPr>
          <w:rFonts w:hint="eastAsia" w:ascii="宋体" w:hAnsi="宋体"/>
          <w:b/>
          <w:bCs/>
          <w:color w:val="auto"/>
          <w:sz w:val="24"/>
        </w:rPr>
        <w:t>202</w:t>
      </w:r>
      <w:r>
        <w:rPr>
          <w:rFonts w:hint="eastAsia" w:ascii="宋体" w:hAnsi="宋体"/>
          <w:b/>
          <w:bCs/>
          <w:color w:val="auto"/>
          <w:sz w:val="24"/>
          <w:lang w:val="en-US" w:eastAsia="zh-CN"/>
        </w:rPr>
        <w:t>5</w:t>
      </w:r>
      <w:r>
        <w:rPr>
          <w:rFonts w:hint="eastAsia" w:ascii="宋体" w:hAnsi="宋体"/>
          <w:b/>
          <w:bCs/>
          <w:color w:val="auto"/>
          <w:sz w:val="24"/>
        </w:rPr>
        <w:t>年</w:t>
      </w:r>
      <w:r>
        <w:rPr>
          <w:rFonts w:hint="eastAsia" w:ascii="宋体" w:hAnsi="宋体"/>
          <w:b/>
          <w:bCs/>
          <w:color w:val="auto"/>
          <w:sz w:val="24"/>
          <w:lang w:val="en-US" w:eastAsia="zh-CN"/>
        </w:rPr>
        <w:t>12</w:t>
      </w:r>
      <w:r>
        <w:rPr>
          <w:rFonts w:hint="eastAsia" w:ascii="宋体" w:hAnsi="宋体"/>
          <w:b/>
          <w:bCs/>
          <w:color w:val="auto"/>
          <w:sz w:val="24"/>
        </w:rPr>
        <w:t>月</w:t>
      </w:r>
      <w:r>
        <w:rPr>
          <w:rFonts w:hint="eastAsia" w:ascii="宋体" w:hAnsi="宋体"/>
          <w:b/>
          <w:bCs/>
          <w:color w:val="auto"/>
          <w:sz w:val="24"/>
          <w:lang w:val="en-US" w:eastAsia="zh-CN"/>
        </w:rPr>
        <w:t>12</w:t>
      </w:r>
      <w:r>
        <w:rPr>
          <w:rFonts w:hint="eastAsia" w:ascii="宋体" w:hAnsi="宋体"/>
          <w:b/>
          <w:bCs/>
          <w:color w:val="auto"/>
          <w:sz w:val="24"/>
        </w:rPr>
        <w:t>日前</w:t>
      </w:r>
      <w:r>
        <w:rPr>
          <w:rFonts w:hint="eastAsia" w:ascii="宋体" w:hAnsi="宋体"/>
          <w:color w:val="auto"/>
          <w:sz w:val="24"/>
        </w:rPr>
        <w:t>交货完成。若逾期未交货视作违约，委托方有权终止合同，竞得方整个标的</w:t>
      </w:r>
      <w:bookmarkStart w:id="0" w:name="_GoBack"/>
      <w:bookmarkEnd w:id="0"/>
      <w:r>
        <w:rPr>
          <w:rFonts w:hint="eastAsia" w:ascii="宋体" w:hAnsi="宋体"/>
          <w:color w:val="auto"/>
          <w:sz w:val="24"/>
        </w:rPr>
        <w:t>物保证金抵做违约金，并纳入失信黑名单。</w:t>
      </w:r>
    </w:p>
    <w:p>
      <w:pPr>
        <w:keepNext w:val="0"/>
        <w:keepLines w:val="0"/>
        <w:pageBreakBefore w:val="0"/>
        <w:widowControl/>
        <w:kinsoku/>
        <w:wordWrap/>
        <w:overflowPunct/>
        <w:topLinePunct w:val="0"/>
        <w:autoSpaceDE/>
        <w:autoSpaceDN/>
        <w:bidi w:val="0"/>
        <w:adjustRightInd w:val="0"/>
        <w:snapToGrid w:val="0"/>
        <w:spacing w:line="560" w:lineRule="exact"/>
        <w:ind w:firstLine="480" w:firstLineChars="200"/>
        <w:jc w:val="left"/>
        <w:textAlignment w:val="auto"/>
        <w:rPr>
          <w:rFonts w:asciiTheme="minorEastAsia" w:hAnsiTheme="minorEastAsia" w:cstheme="minorEastAsia"/>
          <w:kern w:val="0"/>
          <w:sz w:val="24"/>
        </w:rPr>
      </w:pPr>
      <w:r>
        <w:rPr>
          <w:rFonts w:hint="eastAsia" w:ascii="宋体" w:hAnsi="宋体" w:cs="宋体"/>
          <w:color w:val="000000"/>
          <w:kern w:val="0"/>
          <w:sz w:val="24"/>
        </w:rPr>
        <w:t>四、交货地点：</w:t>
      </w:r>
      <w:r>
        <w:rPr>
          <w:rFonts w:hint="eastAsia" w:ascii="宋体" w:hAnsi="宋体"/>
          <w:sz w:val="24"/>
        </w:rPr>
        <w:t>富阳区中心粮库（</w:t>
      </w:r>
      <w:r>
        <w:rPr>
          <w:rFonts w:hint="eastAsia" w:ascii="宋体" w:hAnsi="宋体" w:cs="宋体"/>
          <w:b/>
          <w:kern w:val="0"/>
          <w:sz w:val="24"/>
        </w:rPr>
        <w:t>地址：杭州市富阳区富春街道牌楼村217号</w:t>
      </w:r>
      <w:r>
        <w:rPr>
          <w:rFonts w:hint="eastAsia" w:ascii="宋体" w:hAnsi="宋体"/>
          <w:sz w:val="24"/>
        </w:rPr>
        <w:t>）</w:t>
      </w:r>
      <w:r>
        <w:rPr>
          <w:rFonts w:hint="eastAsia" w:ascii="宋体" w:hAnsi="宋体"/>
          <w:sz w:val="24"/>
          <w:lang w:eastAsia="zh-CN"/>
        </w:rPr>
        <w:t>；</w:t>
      </w:r>
      <w:r>
        <w:rPr>
          <w:rFonts w:hint="eastAsia" w:ascii="宋体" w:hAnsi="宋体" w:cs="宋体"/>
          <w:color w:val="000000"/>
          <w:kern w:val="0"/>
          <w:sz w:val="24"/>
          <w:lang w:val="en-US" w:eastAsia="zh-CN"/>
        </w:rPr>
        <w:t>南四</w:t>
      </w:r>
      <w:r>
        <w:rPr>
          <w:rFonts w:hint="eastAsia" w:ascii="宋体" w:hAnsi="宋体" w:cs="宋体"/>
          <w:color w:val="000000"/>
          <w:kern w:val="0"/>
          <w:sz w:val="24"/>
        </w:rPr>
        <w:t>粮库</w:t>
      </w:r>
      <w:r>
        <w:rPr>
          <w:rFonts w:hint="eastAsia" w:ascii="宋体" w:hAnsi="宋体" w:cs="宋体"/>
          <w:b w:val="0"/>
          <w:bCs w:val="0"/>
          <w:color w:val="000000"/>
          <w:kern w:val="0"/>
          <w:sz w:val="24"/>
        </w:rPr>
        <w:t>（</w:t>
      </w:r>
      <w:r>
        <w:rPr>
          <w:rFonts w:hint="eastAsia" w:ascii="宋体" w:hAnsi="宋体" w:cs="宋体"/>
          <w:b/>
          <w:bCs/>
          <w:color w:val="000000" w:themeColor="text1"/>
          <w:kern w:val="0"/>
          <w:sz w:val="24"/>
          <w14:textFill>
            <w14:solidFill>
              <w14:schemeClr w14:val="tx1"/>
            </w14:solidFill>
          </w14:textFill>
        </w:rPr>
        <w:t>地址：杭州市富阳区新登镇南四村</w:t>
      </w:r>
      <w:r>
        <w:rPr>
          <w:rFonts w:hint="eastAsia" w:ascii="宋体" w:hAnsi="宋体" w:cs="宋体"/>
          <w:color w:val="000000"/>
          <w:kern w:val="0"/>
          <w:sz w:val="24"/>
        </w:rPr>
        <w:t>）。</w:t>
      </w:r>
    </w:p>
    <w:p>
      <w:pPr>
        <w:keepNext w:val="0"/>
        <w:keepLines w:val="0"/>
        <w:pageBreakBefore w:val="0"/>
        <w:widowControl/>
        <w:kinsoku/>
        <w:wordWrap/>
        <w:overflowPunct/>
        <w:topLinePunct w:val="0"/>
        <w:autoSpaceDE/>
        <w:autoSpaceDN/>
        <w:bidi w:val="0"/>
        <w:adjustRightInd w:val="0"/>
        <w:snapToGrid w:val="0"/>
        <w:spacing w:line="560" w:lineRule="exact"/>
        <w:ind w:firstLine="480" w:firstLineChars="200"/>
        <w:jc w:val="left"/>
        <w:textAlignment w:val="auto"/>
        <w:rPr>
          <w:rFonts w:hint="eastAsia" w:ascii="宋体" w:hAnsi="宋体" w:cs="宋体"/>
          <w:color w:val="000000"/>
          <w:kern w:val="0"/>
          <w:sz w:val="24"/>
        </w:rPr>
      </w:pPr>
      <w:r>
        <w:rPr>
          <w:rFonts w:hint="eastAsia" w:ascii="宋体" w:hAnsi="宋体" w:cs="宋体"/>
          <w:color w:val="000000"/>
          <w:kern w:val="0"/>
          <w:sz w:val="24"/>
        </w:rPr>
        <w:t>五、包装要求：25公斤编织袋包装，包装物不计价，皮重按0.1公斤/条计；包装物必须符合GB/T17109的要求，食品级透明，防滑、防霉；不得使用废旧材料制成的编织袋，编织袋必须符合食品卫生要求；编织袋袋口必须缝合严密、标识必须符合国家食品包装、标签标准等有关规定，注明品种名称、等级、净含量、执行标准、生产日期、保质期、生产企业名称和地址等内容。具体包装尺寸、规格、注明内容等须统一，竞得单位名称必须和大米包装上生产单位名称相一致，成交后经协商按委托方要求执行。</w:t>
      </w:r>
    </w:p>
    <w:p>
      <w:pPr>
        <w:keepNext w:val="0"/>
        <w:keepLines w:val="0"/>
        <w:pageBreakBefore w:val="0"/>
        <w:widowControl/>
        <w:kinsoku/>
        <w:wordWrap/>
        <w:overflowPunct/>
        <w:topLinePunct w:val="0"/>
        <w:autoSpaceDE/>
        <w:autoSpaceDN/>
        <w:bidi w:val="0"/>
        <w:adjustRightInd w:val="0"/>
        <w:snapToGrid w:val="0"/>
        <w:spacing w:line="560" w:lineRule="exact"/>
        <w:ind w:firstLine="480" w:firstLineChars="200"/>
        <w:jc w:val="left"/>
        <w:textAlignment w:val="auto"/>
        <w:rPr>
          <w:rFonts w:hint="eastAsia" w:ascii="宋体" w:hAnsi="宋体" w:cs="宋体"/>
          <w:color w:val="000000"/>
          <w:kern w:val="0"/>
          <w:sz w:val="24"/>
          <w:lang w:eastAsia="zh-CN"/>
        </w:rPr>
      </w:pPr>
      <w:r>
        <w:rPr>
          <w:rFonts w:hint="eastAsia" w:ascii="宋体" w:hAnsi="宋体" w:cs="宋体"/>
          <w:color w:val="000000"/>
          <w:kern w:val="0"/>
          <w:sz w:val="24"/>
        </w:rPr>
        <w:t>六、交货方式：实行竞得方送货制，由竞得方将粮食运至委托方指定仓库车板交货。限制80吨（含车身重量）以上的车辆及箱式车</w:t>
      </w:r>
      <w:r>
        <w:rPr>
          <w:rFonts w:hint="eastAsia" w:ascii="宋体" w:hAnsi="宋体" w:cs="宋体"/>
          <w:color w:val="000000"/>
          <w:kern w:val="0"/>
          <w:sz w:val="24"/>
          <w:lang w:eastAsia="zh-CN"/>
        </w:rPr>
        <w:t>。</w:t>
      </w:r>
    </w:p>
    <w:p>
      <w:pPr>
        <w:keepNext w:val="0"/>
        <w:keepLines w:val="0"/>
        <w:pageBreakBefore w:val="0"/>
        <w:widowControl/>
        <w:kinsoku/>
        <w:wordWrap/>
        <w:overflowPunct/>
        <w:topLinePunct w:val="0"/>
        <w:autoSpaceDE/>
        <w:autoSpaceDN/>
        <w:bidi w:val="0"/>
        <w:adjustRightInd w:val="0"/>
        <w:snapToGrid w:val="0"/>
        <w:spacing w:line="560" w:lineRule="exact"/>
        <w:ind w:firstLine="480" w:firstLineChars="200"/>
        <w:jc w:val="left"/>
        <w:textAlignment w:val="auto"/>
        <w:rPr>
          <w:rFonts w:hint="eastAsia" w:ascii="宋体" w:hAnsi="宋体" w:cs="宋体"/>
          <w:color w:val="000000"/>
          <w:kern w:val="0"/>
          <w:sz w:val="24"/>
        </w:rPr>
      </w:pPr>
      <w:r>
        <w:rPr>
          <w:rFonts w:hint="eastAsia" w:ascii="宋体" w:hAnsi="宋体" w:cs="宋体"/>
          <w:color w:val="000000"/>
          <w:kern w:val="0"/>
          <w:sz w:val="24"/>
        </w:rPr>
        <w:t>七、运输方式和费用负担：汽运。入仓前由乙方承担；入仓、码桩等费用由</w:t>
      </w:r>
    </w:p>
    <w:p>
      <w:pPr>
        <w:keepNext w:val="0"/>
        <w:keepLines w:val="0"/>
        <w:pageBreakBefore w:val="0"/>
        <w:widowControl/>
        <w:kinsoku/>
        <w:wordWrap/>
        <w:overflowPunct/>
        <w:topLinePunct w:val="0"/>
        <w:autoSpaceDE/>
        <w:autoSpaceDN/>
        <w:bidi w:val="0"/>
        <w:adjustRightInd w:val="0"/>
        <w:snapToGrid w:val="0"/>
        <w:spacing w:line="560" w:lineRule="exact"/>
        <w:jc w:val="left"/>
        <w:textAlignment w:val="auto"/>
        <w:rPr>
          <w:rFonts w:hint="eastAsia" w:ascii="宋体" w:hAnsi="宋体" w:cs="宋体"/>
          <w:color w:val="000000"/>
          <w:kern w:val="0"/>
          <w:sz w:val="24"/>
        </w:rPr>
      </w:pPr>
      <w:r>
        <w:rPr>
          <w:rFonts w:hint="eastAsia" w:ascii="宋体" w:hAnsi="宋体" w:cs="宋体"/>
          <w:color w:val="000000"/>
          <w:kern w:val="0"/>
          <w:sz w:val="24"/>
        </w:rPr>
        <w:t>甲方支付。</w:t>
      </w:r>
    </w:p>
    <w:p>
      <w:pPr>
        <w:keepNext w:val="0"/>
        <w:keepLines w:val="0"/>
        <w:pageBreakBefore w:val="0"/>
        <w:widowControl/>
        <w:kinsoku/>
        <w:wordWrap/>
        <w:overflowPunct/>
        <w:topLinePunct w:val="0"/>
        <w:autoSpaceDE/>
        <w:autoSpaceDN/>
        <w:bidi w:val="0"/>
        <w:adjustRightInd w:val="0"/>
        <w:snapToGrid w:val="0"/>
        <w:spacing w:line="560" w:lineRule="exact"/>
        <w:ind w:firstLine="480" w:firstLineChars="200"/>
        <w:jc w:val="left"/>
        <w:textAlignment w:val="auto"/>
        <w:rPr>
          <w:rFonts w:hint="eastAsia" w:ascii="宋体" w:hAnsi="宋体" w:cs="宋体"/>
          <w:color w:val="000000"/>
          <w:kern w:val="0"/>
          <w:sz w:val="24"/>
        </w:rPr>
      </w:pPr>
      <w:r>
        <w:rPr>
          <w:rFonts w:hint="eastAsia" w:ascii="宋体" w:hAnsi="宋体" w:cs="宋体"/>
          <w:color w:val="000000"/>
          <w:kern w:val="0"/>
          <w:sz w:val="24"/>
        </w:rPr>
        <w:t>八、货物验收办法：</w:t>
      </w:r>
    </w:p>
    <w:p>
      <w:pPr>
        <w:keepNext w:val="0"/>
        <w:keepLines w:val="0"/>
        <w:pageBreakBefore w:val="0"/>
        <w:widowControl/>
        <w:kinsoku/>
        <w:wordWrap/>
        <w:overflowPunct/>
        <w:topLinePunct w:val="0"/>
        <w:autoSpaceDE/>
        <w:autoSpaceDN/>
        <w:bidi w:val="0"/>
        <w:adjustRightInd w:val="0"/>
        <w:snapToGrid w:val="0"/>
        <w:spacing w:line="560" w:lineRule="exact"/>
        <w:ind w:firstLine="360" w:firstLineChars="150"/>
        <w:jc w:val="left"/>
        <w:textAlignment w:val="auto"/>
        <w:rPr>
          <w:rFonts w:hint="eastAsia" w:ascii="宋体" w:hAnsi="宋体" w:cs="宋体"/>
          <w:color w:val="000000"/>
          <w:kern w:val="0"/>
          <w:sz w:val="24"/>
        </w:rPr>
      </w:pPr>
      <w:r>
        <w:rPr>
          <w:rFonts w:hint="eastAsia" w:ascii="宋体" w:hAnsi="宋体" w:cs="宋体"/>
          <w:color w:val="000000"/>
          <w:kern w:val="0"/>
          <w:sz w:val="24"/>
        </w:rPr>
        <w:t>（1）检斤。检斤地点：</w:t>
      </w:r>
      <w:r>
        <w:rPr>
          <w:rFonts w:hint="eastAsia" w:ascii="宋体" w:hAnsi="宋体" w:cs="宋体"/>
          <w:color w:val="000000"/>
          <w:kern w:val="0"/>
          <w:sz w:val="24"/>
          <w:lang w:val="en-US" w:eastAsia="zh-CN"/>
        </w:rPr>
        <w:t>入仓库点</w:t>
      </w:r>
      <w:r>
        <w:rPr>
          <w:rFonts w:hint="eastAsia" w:ascii="宋体" w:hAnsi="宋体" w:cs="宋体"/>
          <w:color w:val="000000"/>
          <w:kern w:val="0"/>
          <w:sz w:val="24"/>
        </w:rPr>
        <w:t>；检斤方法及费用负担：抽包检斤，检斤费用由委托方承担。过磅后，磅单一式两份，双方（或委托代表）必须在磅单上签署验收意见，不得拒签。（提示：竞得方对磅秤标准有质疑时，有权提出验秤要求，委托方应予配合，费用由责任方负责）。</w:t>
      </w:r>
    </w:p>
    <w:p>
      <w:pPr>
        <w:keepNext w:val="0"/>
        <w:keepLines w:val="0"/>
        <w:pageBreakBefore w:val="0"/>
        <w:widowControl/>
        <w:kinsoku/>
        <w:wordWrap/>
        <w:overflowPunct/>
        <w:topLinePunct w:val="0"/>
        <w:autoSpaceDE/>
        <w:autoSpaceDN/>
        <w:bidi w:val="0"/>
        <w:adjustRightInd w:val="0"/>
        <w:snapToGrid w:val="0"/>
        <w:spacing w:line="560" w:lineRule="exact"/>
        <w:ind w:firstLine="360" w:firstLineChars="150"/>
        <w:jc w:val="left"/>
        <w:textAlignment w:val="auto"/>
        <w:rPr>
          <w:rFonts w:hint="eastAsia" w:ascii="宋体" w:hAnsi="宋体" w:cs="宋体"/>
          <w:color w:val="000000"/>
          <w:kern w:val="0"/>
          <w:sz w:val="24"/>
        </w:rPr>
      </w:pPr>
      <w:r>
        <w:rPr>
          <w:rFonts w:hint="eastAsia" w:ascii="宋体" w:hAnsi="宋体" w:cs="宋体"/>
          <w:color w:val="000000"/>
          <w:kern w:val="0"/>
          <w:sz w:val="24"/>
        </w:rPr>
        <w:t>（2）检质。竞得方需提供有资质的第三方粮食质量检测机构出具的原粮检验报告及该批原粮是用于本次供货大米加工的承诺书给委托方。并且入库期间须随车提供规范的大米出厂质量检验报告，否则委托方有权拒绝入库；委托方实行逐车检验，新陈度检测采用大米新陈度快速测定方法（DB12/T245-2005），要求大米染色呈绿色；大米入库结束后经有资质的第三方检测机构抽样检测，质量不合格，做退货处理，并要求竞得方5天日内补齐合格粮食，换货费用由竞得方承担，经有资质的第三方检测机构检测再次不合格的，没收竞得方全部履约保证金，且委托方有权对该批次大米进行公开竞价交易，并没收交易所得货款的40%，同时限制竞得方三年内不得参与委托方的一切粮食购销竞价场次。</w:t>
      </w:r>
    </w:p>
    <w:p>
      <w:pPr>
        <w:keepNext w:val="0"/>
        <w:keepLines w:val="0"/>
        <w:pageBreakBefore w:val="0"/>
        <w:widowControl/>
        <w:kinsoku/>
        <w:wordWrap/>
        <w:overflowPunct/>
        <w:topLinePunct w:val="0"/>
        <w:autoSpaceDE/>
        <w:autoSpaceDN/>
        <w:bidi w:val="0"/>
        <w:adjustRightInd w:val="0"/>
        <w:snapToGrid w:val="0"/>
        <w:spacing w:line="560" w:lineRule="exact"/>
        <w:ind w:firstLine="480" w:firstLineChars="200"/>
        <w:jc w:val="left"/>
        <w:textAlignment w:val="auto"/>
        <w:rPr>
          <w:rFonts w:hint="eastAsia" w:ascii="宋体" w:hAnsi="宋体" w:cs="宋体"/>
          <w:color w:val="000000"/>
          <w:kern w:val="0"/>
          <w:sz w:val="24"/>
        </w:rPr>
      </w:pPr>
      <w:r>
        <w:rPr>
          <w:rFonts w:hint="eastAsia" w:ascii="宋体" w:hAnsi="宋体" w:cs="宋体"/>
          <w:color w:val="000000"/>
          <w:kern w:val="0"/>
          <w:sz w:val="24"/>
        </w:rPr>
        <w:t>九、结算方式：买卖双方自行结算，粮食入库后，经有资质的第三方检测机构,质量合格后付款，乙方凭相关验收合格凭证到杭州市富阳区粮食收储有限公司财务科结算，并提供正式发票。</w:t>
      </w:r>
    </w:p>
    <w:p>
      <w:pPr>
        <w:keepNext w:val="0"/>
        <w:keepLines w:val="0"/>
        <w:pageBreakBefore w:val="0"/>
        <w:widowControl/>
        <w:kinsoku/>
        <w:wordWrap/>
        <w:overflowPunct/>
        <w:topLinePunct w:val="0"/>
        <w:autoSpaceDE/>
        <w:autoSpaceDN/>
        <w:bidi w:val="0"/>
        <w:adjustRightInd w:val="0"/>
        <w:snapToGrid w:val="0"/>
        <w:spacing w:line="560" w:lineRule="exact"/>
        <w:ind w:firstLine="480" w:firstLineChars="200"/>
        <w:jc w:val="left"/>
        <w:textAlignment w:val="auto"/>
        <w:rPr>
          <w:rFonts w:hint="eastAsia" w:ascii="宋体" w:hAnsi="宋体" w:cs="宋体"/>
          <w:color w:val="000000"/>
          <w:kern w:val="0"/>
          <w:sz w:val="24"/>
        </w:rPr>
      </w:pPr>
      <w:r>
        <w:rPr>
          <w:rFonts w:hint="eastAsia" w:ascii="宋体" w:hAnsi="宋体" w:cs="宋体"/>
          <w:color w:val="000000"/>
          <w:kern w:val="0"/>
          <w:sz w:val="24"/>
        </w:rPr>
        <w:t>十、违约责任：按照当期《交易公告》《民法典》及有关规定执行。</w:t>
      </w:r>
    </w:p>
    <w:p>
      <w:pPr>
        <w:keepNext w:val="0"/>
        <w:keepLines w:val="0"/>
        <w:pageBreakBefore w:val="0"/>
        <w:widowControl/>
        <w:kinsoku/>
        <w:wordWrap/>
        <w:overflowPunct/>
        <w:topLinePunct w:val="0"/>
        <w:autoSpaceDE/>
        <w:autoSpaceDN/>
        <w:bidi w:val="0"/>
        <w:adjustRightInd w:val="0"/>
        <w:snapToGrid w:val="0"/>
        <w:spacing w:line="560" w:lineRule="exact"/>
        <w:ind w:firstLine="480" w:firstLineChars="200"/>
        <w:jc w:val="left"/>
        <w:textAlignment w:val="auto"/>
        <w:rPr>
          <w:rFonts w:hint="eastAsia" w:ascii="宋体" w:hAnsi="宋体" w:cs="宋体"/>
          <w:color w:val="000000"/>
          <w:kern w:val="0"/>
          <w:sz w:val="24"/>
        </w:rPr>
      </w:pPr>
      <w:r>
        <w:rPr>
          <w:rFonts w:hint="eastAsia" w:ascii="宋体" w:hAnsi="宋体" w:cs="宋体"/>
          <w:color w:val="000000"/>
          <w:kern w:val="0"/>
          <w:sz w:val="24"/>
        </w:rPr>
        <w:t xml:space="preserve">十一、合同争议的解决方式：按照《民法典》《民诉法》有关规定执行。 </w:t>
      </w:r>
    </w:p>
    <w:p>
      <w:pPr>
        <w:keepNext w:val="0"/>
        <w:keepLines w:val="0"/>
        <w:pageBreakBefore w:val="0"/>
        <w:widowControl/>
        <w:kinsoku/>
        <w:wordWrap/>
        <w:overflowPunct/>
        <w:topLinePunct w:val="0"/>
        <w:autoSpaceDE/>
        <w:autoSpaceDN/>
        <w:bidi w:val="0"/>
        <w:adjustRightInd w:val="0"/>
        <w:snapToGrid w:val="0"/>
        <w:spacing w:line="560" w:lineRule="exact"/>
        <w:ind w:firstLine="480" w:firstLineChars="200"/>
        <w:jc w:val="left"/>
        <w:textAlignment w:val="auto"/>
        <w:rPr>
          <w:rFonts w:hint="eastAsia" w:ascii="宋体" w:hAnsi="宋体" w:cs="宋体"/>
          <w:color w:val="000000"/>
          <w:kern w:val="0"/>
          <w:sz w:val="24"/>
        </w:rPr>
      </w:pPr>
      <w:r>
        <w:rPr>
          <w:rFonts w:hint="eastAsia" w:ascii="宋体" w:hAnsi="宋体" w:cs="宋体"/>
          <w:color w:val="000000"/>
          <w:kern w:val="0"/>
          <w:sz w:val="24"/>
        </w:rPr>
        <w:t>十二、合同一式二份，双方代表签字并盖具单位公章后生效，双方各执一份。</w:t>
      </w:r>
    </w:p>
    <w:p>
      <w:pPr>
        <w:keepNext w:val="0"/>
        <w:keepLines w:val="0"/>
        <w:pageBreakBefore w:val="0"/>
        <w:widowControl/>
        <w:kinsoku/>
        <w:wordWrap/>
        <w:overflowPunct/>
        <w:topLinePunct w:val="0"/>
        <w:autoSpaceDE/>
        <w:autoSpaceDN/>
        <w:bidi w:val="0"/>
        <w:adjustRightInd w:val="0"/>
        <w:snapToGrid w:val="0"/>
        <w:spacing w:line="560" w:lineRule="exact"/>
        <w:ind w:firstLine="480" w:firstLineChars="200"/>
        <w:jc w:val="left"/>
        <w:textAlignment w:val="auto"/>
        <w:rPr>
          <w:rFonts w:hint="eastAsia" w:ascii="宋体" w:hAnsi="宋体" w:cs="宋体"/>
          <w:color w:val="000000"/>
          <w:kern w:val="0"/>
          <w:sz w:val="24"/>
        </w:rPr>
      </w:pPr>
      <w:r>
        <w:rPr>
          <w:rFonts w:hint="eastAsia" w:ascii="宋体" w:hAnsi="宋体" w:cs="宋体"/>
          <w:color w:val="000000"/>
          <w:kern w:val="0"/>
          <w:sz w:val="24"/>
        </w:rPr>
        <w:t>十三、未尽事宜、另行协商。</w:t>
      </w:r>
    </w:p>
    <w:tbl>
      <w:tblPr>
        <w:tblStyle w:val="6"/>
        <w:tblpPr w:leftFromText="180" w:rightFromText="180" w:vertAnchor="text" w:horzAnchor="page" w:tblpXSpec="center" w:tblpY="1380"/>
        <w:tblOverlap w:val="never"/>
        <w:tblW w:w="8868" w:type="dxa"/>
        <w:jc w:val="center"/>
        <w:tblLayout w:type="autofit"/>
        <w:tblCellMar>
          <w:top w:w="0" w:type="dxa"/>
          <w:left w:w="108" w:type="dxa"/>
          <w:bottom w:w="0" w:type="dxa"/>
          <w:right w:w="108" w:type="dxa"/>
        </w:tblCellMar>
      </w:tblPr>
      <w:tblGrid>
        <w:gridCol w:w="4502"/>
        <w:gridCol w:w="4366"/>
      </w:tblGrid>
      <w:tr>
        <w:tblPrEx>
          <w:tblCellMar>
            <w:top w:w="0" w:type="dxa"/>
            <w:left w:w="108" w:type="dxa"/>
            <w:bottom w:w="0" w:type="dxa"/>
            <w:right w:w="108" w:type="dxa"/>
          </w:tblCellMar>
        </w:tblPrEx>
        <w:trPr>
          <w:trHeight w:val="5420" w:hRule="atLeast"/>
          <w:jc w:val="center"/>
        </w:trPr>
        <w:tc>
          <w:tcPr>
            <w:tcW w:w="4502" w:type="dxa"/>
            <w:tcBorders>
              <w:top w:val="single" w:color="auto" w:sz="4" w:space="0"/>
              <w:left w:val="single" w:color="auto" w:sz="4" w:space="0"/>
              <w:bottom w:val="single" w:color="auto" w:sz="4" w:space="0"/>
              <w:right w:val="single" w:color="auto" w:sz="4" w:space="0"/>
            </w:tcBorders>
            <w:vAlign w:val="top"/>
          </w:tcPr>
          <w:p>
            <w:pPr>
              <w:spacing w:line="460" w:lineRule="exact"/>
              <w:jc w:val="center"/>
              <w:rPr>
                <w:rFonts w:ascii="宋体" w:hAnsi="宋体"/>
                <w:sz w:val="24"/>
              </w:rPr>
            </w:pPr>
            <w:r>
              <w:rPr>
                <w:rFonts w:hint="eastAsia" w:ascii="宋体" w:hAnsi="宋体"/>
                <w:sz w:val="24"/>
              </w:rPr>
              <w:t>甲           方</w:t>
            </w:r>
          </w:p>
          <w:p>
            <w:pPr>
              <w:spacing w:line="460" w:lineRule="exact"/>
              <w:ind w:left="1200" w:hanging="1200" w:hangingChars="500"/>
              <w:rPr>
                <w:rFonts w:ascii="宋体" w:hAnsi="宋体"/>
                <w:sz w:val="24"/>
              </w:rPr>
            </w:pPr>
            <w:r>
              <w:rPr>
                <w:rFonts w:hint="eastAsia" w:ascii="宋体" w:hAnsi="宋体"/>
                <w:sz w:val="24"/>
              </w:rPr>
              <w:t>单位名称：杭州市富阳区粮食收储有限公司</w:t>
            </w:r>
          </w:p>
          <w:p>
            <w:pPr>
              <w:spacing w:line="460" w:lineRule="exact"/>
              <w:ind w:left="1200" w:hanging="1200" w:hangingChars="500"/>
              <w:rPr>
                <w:rFonts w:ascii="宋体" w:hAnsi="宋体"/>
                <w:sz w:val="24"/>
              </w:rPr>
            </w:pPr>
            <w:r>
              <w:rPr>
                <w:rFonts w:hint="eastAsia" w:ascii="宋体" w:hAnsi="宋体"/>
                <w:sz w:val="24"/>
              </w:rPr>
              <w:t>单位地址：富春街道杨清庙村牌楼217号</w:t>
            </w:r>
          </w:p>
          <w:p>
            <w:pPr>
              <w:spacing w:line="460" w:lineRule="exact"/>
              <w:rPr>
                <w:rFonts w:ascii="宋体" w:hAnsi="宋体"/>
                <w:sz w:val="24"/>
              </w:rPr>
            </w:pPr>
            <w:r>
              <w:rPr>
                <w:rFonts w:hint="eastAsia" w:ascii="宋体" w:hAnsi="宋体"/>
                <w:sz w:val="24"/>
              </w:rPr>
              <w:t>法定代表人：</w:t>
            </w:r>
          </w:p>
          <w:p>
            <w:pPr>
              <w:spacing w:line="460" w:lineRule="exact"/>
              <w:rPr>
                <w:rFonts w:ascii="宋体" w:hAnsi="宋体"/>
                <w:sz w:val="24"/>
              </w:rPr>
            </w:pPr>
            <w:r>
              <w:rPr>
                <w:rFonts w:hint="eastAsia" w:ascii="宋体" w:hAnsi="宋体"/>
                <w:sz w:val="24"/>
              </w:rPr>
              <w:t>委托代理人：</w:t>
            </w:r>
          </w:p>
          <w:p>
            <w:pPr>
              <w:spacing w:line="460" w:lineRule="exact"/>
              <w:ind w:left="1200" w:hanging="1200" w:hangingChars="500"/>
              <w:rPr>
                <w:rFonts w:ascii="宋体" w:hAnsi="宋体"/>
                <w:sz w:val="24"/>
              </w:rPr>
            </w:pPr>
            <w:r>
              <w:rPr>
                <w:rFonts w:hint="eastAsia" w:ascii="宋体" w:hAnsi="宋体"/>
                <w:sz w:val="24"/>
              </w:rPr>
              <w:t>开户银行：中国农业发展银行杭州市富阳支行</w:t>
            </w:r>
          </w:p>
          <w:p>
            <w:pPr>
              <w:spacing w:line="460" w:lineRule="exact"/>
              <w:rPr>
                <w:rFonts w:ascii="宋体" w:hAnsi="宋体"/>
                <w:sz w:val="24"/>
              </w:rPr>
            </w:pPr>
            <w:r>
              <w:rPr>
                <w:rFonts w:hint="eastAsia" w:ascii="宋体" w:hAnsi="宋体"/>
                <w:sz w:val="24"/>
              </w:rPr>
              <w:t>帐    号：20333018300100000001511</w:t>
            </w:r>
          </w:p>
          <w:p>
            <w:pPr>
              <w:spacing w:line="460" w:lineRule="exact"/>
              <w:rPr>
                <w:rFonts w:ascii="宋体" w:hAnsi="宋体"/>
                <w:sz w:val="24"/>
              </w:rPr>
            </w:pPr>
            <w:r>
              <w:rPr>
                <w:rFonts w:hint="eastAsia" w:ascii="宋体" w:hAnsi="宋体"/>
                <w:sz w:val="24"/>
              </w:rPr>
              <w:t>邮政编码：311403</w:t>
            </w:r>
          </w:p>
          <w:p>
            <w:pPr>
              <w:spacing w:line="460" w:lineRule="exact"/>
              <w:rPr>
                <w:rFonts w:ascii="宋体" w:hAnsi="宋体"/>
                <w:sz w:val="24"/>
              </w:rPr>
            </w:pPr>
            <w:r>
              <w:rPr>
                <w:rFonts w:hint="eastAsia" w:ascii="宋体" w:hAnsi="宋体"/>
                <w:sz w:val="24"/>
              </w:rPr>
              <w:t>电    话：0571-63470356，63470351</w:t>
            </w:r>
          </w:p>
        </w:tc>
        <w:tc>
          <w:tcPr>
            <w:tcW w:w="4366" w:type="dxa"/>
            <w:tcBorders>
              <w:top w:val="single" w:color="auto" w:sz="4" w:space="0"/>
              <w:left w:val="single" w:color="auto" w:sz="4" w:space="0"/>
              <w:bottom w:val="single" w:color="auto" w:sz="4" w:space="0"/>
              <w:right w:val="single" w:color="auto" w:sz="4" w:space="0"/>
            </w:tcBorders>
            <w:vAlign w:val="top"/>
          </w:tcPr>
          <w:p>
            <w:pPr>
              <w:spacing w:line="460" w:lineRule="exact"/>
              <w:jc w:val="center"/>
              <w:rPr>
                <w:rFonts w:ascii="宋体" w:hAnsi="宋体"/>
                <w:sz w:val="24"/>
              </w:rPr>
            </w:pPr>
            <w:r>
              <w:rPr>
                <w:rFonts w:hint="eastAsia" w:ascii="宋体" w:hAnsi="宋体"/>
                <w:sz w:val="24"/>
              </w:rPr>
              <w:t>乙         方</w:t>
            </w:r>
          </w:p>
          <w:p>
            <w:pPr>
              <w:spacing w:line="460" w:lineRule="exact"/>
              <w:rPr>
                <w:rFonts w:ascii="宋体" w:hAnsi="宋体"/>
                <w:sz w:val="24"/>
              </w:rPr>
            </w:pPr>
            <w:r>
              <w:rPr>
                <w:rFonts w:hint="eastAsia" w:ascii="宋体" w:hAnsi="宋体"/>
                <w:sz w:val="24"/>
              </w:rPr>
              <w:t>单位名称：</w:t>
            </w:r>
          </w:p>
          <w:p>
            <w:pPr>
              <w:spacing w:line="460" w:lineRule="exact"/>
              <w:rPr>
                <w:rFonts w:ascii="宋体" w:hAnsi="宋体"/>
                <w:sz w:val="24"/>
              </w:rPr>
            </w:pPr>
            <w:r>
              <w:rPr>
                <w:rFonts w:hint="eastAsia" w:ascii="宋体" w:hAnsi="宋体"/>
                <w:sz w:val="24"/>
              </w:rPr>
              <w:t>单位地址：</w:t>
            </w:r>
          </w:p>
          <w:p>
            <w:pPr>
              <w:spacing w:line="460" w:lineRule="exact"/>
              <w:rPr>
                <w:rFonts w:ascii="宋体" w:hAnsi="宋体"/>
                <w:sz w:val="24"/>
              </w:rPr>
            </w:pPr>
            <w:r>
              <w:rPr>
                <w:rFonts w:hint="eastAsia" w:ascii="宋体" w:hAnsi="宋体"/>
                <w:sz w:val="24"/>
              </w:rPr>
              <w:t>法定代表人：</w:t>
            </w:r>
          </w:p>
          <w:p>
            <w:pPr>
              <w:spacing w:line="460" w:lineRule="exact"/>
              <w:rPr>
                <w:rFonts w:ascii="宋体" w:hAnsi="宋体"/>
                <w:sz w:val="24"/>
              </w:rPr>
            </w:pPr>
            <w:r>
              <w:rPr>
                <w:rFonts w:hint="eastAsia" w:ascii="宋体" w:hAnsi="宋体"/>
                <w:sz w:val="24"/>
              </w:rPr>
              <w:t>委托代理人：</w:t>
            </w:r>
          </w:p>
          <w:p>
            <w:pPr>
              <w:spacing w:line="460" w:lineRule="exact"/>
              <w:rPr>
                <w:rFonts w:ascii="宋体" w:hAnsi="宋体"/>
                <w:sz w:val="24"/>
              </w:rPr>
            </w:pPr>
            <w:r>
              <w:rPr>
                <w:rFonts w:hint="eastAsia" w:ascii="宋体" w:hAnsi="宋体"/>
                <w:sz w:val="24"/>
              </w:rPr>
              <w:t>开户银行：</w:t>
            </w:r>
          </w:p>
          <w:p>
            <w:pPr>
              <w:spacing w:line="460" w:lineRule="exact"/>
              <w:rPr>
                <w:rFonts w:ascii="宋体" w:hAnsi="宋体"/>
                <w:sz w:val="24"/>
              </w:rPr>
            </w:pPr>
            <w:r>
              <w:rPr>
                <w:rFonts w:hint="eastAsia" w:ascii="宋体" w:hAnsi="宋体"/>
                <w:sz w:val="24"/>
              </w:rPr>
              <w:t>帐    号：</w:t>
            </w:r>
          </w:p>
          <w:p>
            <w:pPr>
              <w:spacing w:line="460" w:lineRule="exact"/>
              <w:rPr>
                <w:rFonts w:ascii="宋体" w:hAnsi="宋体"/>
                <w:sz w:val="24"/>
              </w:rPr>
            </w:pPr>
            <w:r>
              <w:rPr>
                <w:rFonts w:hint="eastAsia" w:ascii="宋体" w:hAnsi="宋体"/>
                <w:sz w:val="24"/>
              </w:rPr>
              <w:t>邮政编码：</w:t>
            </w:r>
          </w:p>
          <w:p>
            <w:pPr>
              <w:spacing w:line="460" w:lineRule="exact"/>
              <w:rPr>
                <w:rFonts w:ascii="宋体" w:hAnsi="宋体"/>
                <w:b/>
                <w:sz w:val="24"/>
              </w:rPr>
            </w:pPr>
            <w:r>
              <w:rPr>
                <w:rFonts w:hint="eastAsia" w:ascii="宋体" w:hAnsi="宋体"/>
                <w:sz w:val="24"/>
              </w:rPr>
              <w:t>电    话：</w:t>
            </w:r>
          </w:p>
        </w:tc>
      </w:tr>
    </w:tbl>
    <w:p>
      <w:pPr>
        <w:tabs>
          <w:tab w:val="left" w:pos="4620"/>
        </w:tabs>
      </w:pPr>
    </w:p>
    <w:sectPr>
      <w:pgSz w:w="11906" w:h="16838"/>
      <w:pgMar w:top="1247" w:right="1800" w:bottom="1247"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jRmMzU2ZjZhNzAwN2FkZGQxMmU2ZTUwZmI3ZDAxYTkifQ=="/>
  </w:docVars>
  <w:rsids>
    <w:rsidRoot w:val="005A7578"/>
    <w:rsid w:val="000004BE"/>
    <w:rsid w:val="000033B0"/>
    <w:rsid w:val="00003698"/>
    <w:rsid w:val="00004CE6"/>
    <w:rsid w:val="00006AF3"/>
    <w:rsid w:val="00006BCA"/>
    <w:rsid w:val="0001085C"/>
    <w:rsid w:val="00010A2B"/>
    <w:rsid w:val="0001103B"/>
    <w:rsid w:val="00011D86"/>
    <w:rsid w:val="00020CEB"/>
    <w:rsid w:val="000223C8"/>
    <w:rsid w:val="00022A6F"/>
    <w:rsid w:val="00026F19"/>
    <w:rsid w:val="000276E5"/>
    <w:rsid w:val="000317CB"/>
    <w:rsid w:val="00031EED"/>
    <w:rsid w:val="000330C0"/>
    <w:rsid w:val="00033DCD"/>
    <w:rsid w:val="00036E48"/>
    <w:rsid w:val="00037950"/>
    <w:rsid w:val="00037AE5"/>
    <w:rsid w:val="000410FE"/>
    <w:rsid w:val="00043B9C"/>
    <w:rsid w:val="000453C7"/>
    <w:rsid w:val="000571F2"/>
    <w:rsid w:val="00060826"/>
    <w:rsid w:val="00061B42"/>
    <w:rsid w:val="00062693"/>
    <w:rsid w:val="00063E52"/>
    <w:rsid w:val="00064193"/>
    <w:rsid w:val="00064387"/>
    <w:rsid w:val="00064CA8"/>
    <w:rsid w:val="00064F98"/>
    <w:rsid w:val="000651B6"/>
    <w:rsid w:val="00065528"/>
    <w:rsid w:val="00065B19"/>
    <w:rsid w:val="00070837"/>
    <w:rsid w:val="00072D6C"/>
    <w:rsid w:val="00073868"/>
    <w:rsid w:val="00080101"/>
    <w:rsid w:val="000805E0"/>
    <w:rsid w:val="00081280"/>
    <w:rsid w:val="000822D1"/>
    <w:rsid w:val="00082F4A"/>
    <w:rsid w:val="0008735D"/>
    <w:rsid w:val="00087A2D"/>
    <w:rsid w:val="00087A5B"/>
    <w:rsid w:val="00087ACC"/>
    <w:rsid w:val="0009024A"/>
    <w:rsid w:val="00093D2E"/>
    <w:rsid w:val="00096948"/>
    <w:rsid w:val="00097163"/>
    <w:rsid w:val="00097C56"/>
    <w:rsid w:val="000A0625"/>
    <w:rsid w:val="000A1BC8"/>
    <w:rsid w:val="000A5204"/>
    <w:rsid w:val="000A55C0"/>
    <w:rsid w:val="000A7750"/>
    <w:rsid w:val="000B0BBB"/>
    <w:rsid w:val="000B2167"/>
    <w:rsid w:val="000B30EB"/>
    <w:rsid w:val="000B3BFA"/>
    <w:rsid w:val="000B596A"/>
    <w:rsid w:val="000B5B7B"/>
    <w:rsid w:val="000B73D4"/>
    <w:rsid w:val="000C0095"/>
    <w:rsid w:val="000C1AE5"/>
    <w:rsid w:val="000C207F"/>
    <w:rsid w:val="000C2C97"/>
    <w:rsid w:val="000C579E"/>
    <w:rsid w:val="000D1D46"/>
    <w:rsid w:val="000D2435"/>
    <w:rsid w:val="000D2D70"/>
    <w:rsid w:val="000D5019"/>
    <w:rsid w:val="000D55E3"/>
    <w:rsid w:val="000E07B6"/>
    <w:rsid w:val="000E0E69"/>
    <w:rsid w:val="000E2ABD"/>
    <w:rsid w:val="000E4758"/>
    <w:rsid w:val="000E587A"/>
    <w:rsid w:val="000E7831"/>
    <w:rsid w:val="000F27D4"/>
    <w:rsid w:val="000F3BE5"/>
    <w:rsid w:val="000F4276"/>
    <w:rsid w:val="000F648F"/>
    <w:rsid w:val="000F672D"/>
    <w:rsid w:val="00100340"/>
    <w:rsid w:val="0010406E"/>
    <w:rsid w:val="00107019"/>
    <w:rsid w:val="00110D04"/>
    <w:rsid w:val="00111D2C"/>
    <w:rsid w:val="00114A69"/>
    <w:rsid w:val="00115D51"/>
    <w:rsid w:val="00116E55"/>
    <w:rsid w:val="00120DCD"/>
    <w:rsid w:val="001215F3"/>
    <w:rsid w:val="00121783"/>
    <w:rsid w:val="0013600A"/>
    <w:rsid w:val="0013651B"/>
    <w:rsid w:val="0013725D"/>
    <w:rsid w:val="00141763"/>
    <w:rsid w:val="00142AD5"/>
    <w:rsid w:val="00143CCF"/>
    <w:rsid w:val="00144257"/>
    <w:rsid w:val="00146805"/>
    <w:rsid w:val="001516CC"/>
    <w:rsid w:val="00156899"/>
    <w:rsid w:val="00157AB5"/>
    <w:rsid w:val="00160095"/>
    <w:rsid w:val="00161C23"/>
    <w:rsid w:val="00164BB0"/>
    <w:rsid w:val="00165521"/>
    <w:rsid w:val="001658A4"/>
    <w:rsid w:val="00166982"/>
    <w:rsid w:val="00170348"/>
    <w:rsid w:val="00172A3A"/>
    <w:rsid w:val="001736A4"/>
    <w:rsid w:val="0017429C"/>
    <w:rsid w:val="00174EAC"/>
    <w:rsid w:val="00175219"/>
    <w:rsid w:val="00176C92"/>
    <w:rsid w:val="00181A78"/>
    <w:rsid w:val="001839D0"/>
    <w:rsid w:val="00190669"/>
    <w:rsid w:val="00192B48"/>
    <w:rsid w:val="00192C15"/>
    <w:rsid w:val="0019453D"/>
    <w:rsid w:val="00197CB1"/>
    <w:rsid w:val="00197D55"/>
    <w:rsid w:val="00197D9F"/>
    <w:rsid w:val="001A2B45"/>
    <w:rsid w:val="001A3764"/>
    <w:rsid w:val="001A4143"/>
    <w:rsid w:val="001A7E9F"/>
    <w:rsid w:val="001B10D1"/>
    <w:rsid w:val="001B19CA"/>
    <w:rsid w:val="001B4984"/>
    <w:rsid w:val="001B5247"/>
    <w:rsid w:val="001B76AE"/>
    <w:rsid w:val="001C2A46"/>
    <w:rsid w:val="001C3C27"/>
    <w:rsid w:val="001C44FB"/>
    <w:rsid w:val="001D037A"/>
    <w:rsid w:val="001D294B"/>
    <w:rsid w:val="001D3535"/>
    <w:rsid w:val="001D7C6D"/>
    <w:rsid w:val="001D7FEA"/>
    <w:rsid w:val="001E11A8"/>
    <w:rsid w:val="001E1E90"/>
    <w:rsid w:val="001E5185"/>
    <w:rsid w:val="001E61D1"/>
    <w:rsid w:val="001E6239"/>
    <w:rsid w:val="001F09F4"/>
    <w:rsid w:val="001F3164"/>
    <w:rsid w:val="002018B3"/>
    <w:rsid w:val="00202872"/>
    <w:rsid w:val="00203FC1"/>
    <w:rsid w:val="00204E85"/>
    <w:rsid w:val="002064F5"/>
    <w:rsid w:val="00206D69"/>
    <w:rsid w:val="002119B8"/>
    <w:rsid w:val="00211CC8"/>
    <w:rsid w:val="00212958"/>
    <w:rsid w:val="00215C26"/>
    <w:rsid w:val="00216BD8"/>
    <w:rsid w:val="00216F53"/>
    <w:rsid w:val="0021755B"/>
    <w:rsid w:val="002175D1"/>
    <w:rsid w:val="00220F9F"/>
    <w:rsid w:val="00225740"/>
    <w:rsid w:val="002257FC"/>
    <w:rsid w:val="002300DB"/>
    <w:rsid w:val="00232970"/>
    <w:rsid w:val="002341E9"/>
    <w:rsid w:val="00234ACC"/>
    <w:rsid w:val="00237043"/>
    <w:rsid w:val="0024092D"/>
    <w:rsid w:val="00242F45"/>
    <w:rsid w:val="00243565"/>
    <w:rsid w:val="002439C5"/>
    <w:rsid w:val="00243C01"/>
    <w:rsid w:val="0024489C"/>
    <w:rsid w:val="00247594"/>
    <w:rsid w:val="00247B91"/>
    <w:rsid w:val="00247BA5"/>
    <w:rsid w:val="0025089A"/>
    <w:rsid w:val="00250952"/>
    <w:rsid w:val="0025111F"/>
    <w:rsid w:val="00254792"/>
    <w:rsid w:val="00255F33"/>
    <w:rsid w:val="00260ABA"/>
    <w:rsid w:val="00262809"/>
    <w:rsid w:val="00262AFD"/>
    <w:rsid w:val="00265C2E"/>
    <w:rsid w:val="002663EF"/>
    <w:rsid w:val="00271A59"/>
    <w:rsid w:val="00273E47"/>
    <w:rsid w:val="0027417D"/>
    <w:rsid w:val="00277A96"/>
    <w:rsid w:val="002838DB"/>
    <w:rsid w:val="00286C8A"/>
    <w:rsid w:val="0029056D"/>
    <w:rsid w:val="00293BF6"/>
    <w:rsid w:val="00293C36"/>
    <w:rsid w:val="00294449"/>
    <w:rsid w:val="002957F7"/>
    <w:rsid w:val="00295823"/>
    <w:rsid w:val="002A1169"/>
    <w:rsid w:val="002A27B5"/>
    <w:rsid w:val="002A4190"/>
    <w:rsid w:val="002A49BA"/>
    <w:rsid w:val="002B3040"/>
    <w:rsid w:val="002B3834"/>
    <w:rsid w:val="002B3AD7"/>
    <w:rsid w:val="002B42A1"/>
    <w:rsid w:val="002B4D1B"/>
    <w:rsid w:val="002B509A"/>
    <w:rsid w:val="002B73A9"/>
    <w:rsid w:val="002B7AD6"/>
    <w:rsid w:val="002C1859"/>
    <w:rsid w:val="002C2BCE"/>
    <w:rsid w:val="002C4860"/>
    <w:rsid w:val="002C4CB0"/>
    <w:rsid w:val="002C713A"/>
    <w:rsid w:val="002C76FF"/>
    <w:rsid w:val="002D4CCD"/>
    <w:rsid w:val="002D4F5E"/>
    <w:rsid w:val="002E302C"/>
    <w:rsid w:val="002E3A50"/>
    <w:rsid w:val="002E403F"/>
    <w:rsid w:val="002E7C66"/>
    <w:rsid w:val="002F2851"/>
    <w:rsid w:val="00300BA4"/>
    <w:rsid w:val="00301305"/>
    <w:rsid w:val="003017AE"/>
    <w:rsid w:val="0030281A"/>
    <w:rsid w:val="003028B7"/>
    <w:rsid w:val="00302E32"/>
    <w:rsid w:val="003046D0"/>
    <w:rsid w:val="00311035"/>
    <w:rsid w:val="003117B6"/>
    <w:rsid w:val="00312ADC"/>
    <w:rsid w:val="00313D76"/>
    <w:rsid w:val="00313ECB"/>
    <w:rsid w:val="00316036"/>
    <w:rsid w:val="003234A6"/>
    <w:rsid w:val="003234C7"/>
    <w:rsid w:val="00324AB1"/>
    <w:rsid w:val="00326176"/>
    <w:rsid w:val="00331F34"/>
    <w:rsid w:val="00332CA9"/>
    <w:rsid w:val="00340F37"/>
    <w:rsid w:val="003414CF"/>
    <w:rsid w:val="00341834"/>
    <w:rsid w:val="00343AF1"/>
    <w:rsid w:val="003449E7"/>
    <w:rsid w:val="00345742"/>
    <w:rsid w:val="00346699"/>
    <w:rsid w:val="00346A17"/>
    <w:rsid w:val="00346B19"/>
    <w:rsid w:val="00351193"/>
    <w:rsid w:val="00351AB9"/>
    <w:rsid w:val="00352DB9"/>
    <w:rsid w:val="00354924"/>
    <w:rsid w:val="003608D6"/>
    <w:rsid w:val="00362A1A"/>
    <w:rsid w:val="00362CC4"/>
    <w:rsid w:val="003725B9"/>
    <w:rsid w:val="00372AE1"/>
    <w:rsid w:val="00373100"/>
    <w:rsid w:val="00373163"/>
    <w:rsid w:val="00374BF0"/>
    <w:rsid w:val="00376F1E"/>
    <w:rsid w:val="00380173"/>
    <w:rsid w:val="00380D67"/>
    <w:rsid w:val="00381ACC"/>
    <w:rsid w:val="00385575"/>
    <w:rsid w:val="0038641C"/>
    <w:rsid w:val="00393338"/>
    <w:rsid w:val="003941A1"/>
    <w:rsid w:val="00395509"/>
    <w:rsid w:val="00396554"/>
    <w:rsid w:val="003A037B"/>
    <w:rsid w:val="003A1E10"/>
    <w:rsid w:val="003A34A6"/>
    <w:rsid w:val="003A5BA3"/>
    <w:rsid w:val="003A657B"/>
    <w:rsid w:val="003A7F8E"/>
    <w:rsid w:val="003B194C"/>
    <w:rsid w:val="003B33DA"/>
    <w:rsid w:val="003B3E15"/>
    <w:rsid w:val="003B4DDF"/>
    <w:rsid w:val="003C67C3"/>
    <w:rsid w:val="003D0CDE"/>
    <w:rsid w:val="003D47A1"/>
    <w:rsid w:val="003D48B2"/>
    <w:rsid w:val="003D6789"/>
    <w:rsid w:val="003D6CAB"/>
    <w:rsid w:val="003D7405"/>
    <w:rsid w:val="003D75C4"/>
    <w:rsid w:val="003E3C2D"/>
    <w:rsid w:val="003E4DCD"/>
    <w:rsid w:val="003E5327"/>
    <w:rsid w:val="003E72CC"/>
    <w:rsid w:val="003F296F"/>
    <w:rsid w:val="003F3000"/>
    <w:rsid w:val="003F4A87"/>
    <w:rsid w:val="003F67FA"/>
    <w:rsid w:val="003F6DE5"/>
    <w:rsid w:val="003F7124"/>
    <w:rsid w:val="00400128"/>
    <w:rsid w:val="00401774"/>
    <w:rsid w:val="00401FD7"/>
    <w:rsid w:val="004028CE"/>
    <w:rsid w:val="00403FA7"/>
    <w:rsid w:val="00404A16"/>
    <w:rsid w:val="00405991"/>
    <w:rsid w:val="004063B8"/>
    <w:rsid w:val="004119B8"/>
    <w:rsid w:val="00412195"/>
    <w:rsid w:val="0041259B"/>
    <w:rsid w:val="0041437D"/>
    <w:rsid w:val="00415E36"/>
    <w:rsid w:val="00417661"/>
    <w:rsid w:val="004224C8"/>
    <w:rsid w:val="00422A9D"/>
    <w:rsid w:val="0042445C"/>
    <w:rsid w:val="00426662"/>
    <w:rsid w:val="00432FD8"/>
    <w:rsid w:val="004335DA"/>
    <w:rsid w:val="00435E24"/>
    <w:rsid w:val="00440792"/>
    <w:rsid w:val="004423CD"/>
    <w:rsid w:val="004444D3"/>
    <w:rsid w:val="00447E11"/>
    <w:rsid w:val="004500E9"/>
    <w:rsid w:val="00452DA5"/>
    <w:rsid w:val="00453ED8"/>
    <w:rsid w:val="004548DA"/>
    <w:rsid w:val="00454ACC"/>
    <w:rsid w:val="00454B5C"/>
    <w:rsid w:val="00455215"/>
    <w:rsid w:val="00460130"/>
    <w:rsid w:val="00460875"/>
    <w:rsid w:val="00461068"/>
    <w:rsid w:val="00463830"/>
    <w:rsid w:val="004706FD"/>
    <w:rsid w:val="004717CB"/>
    <w:rsid w:val="0048346C"/>
    <w:rsid w:val="00485912"/>
    <w:rsid w:val="004863AB"/>
    <w:rsid w:val="004901C8"/>
    <w:rsid w:val="00490BDF"/>
    <w:rsid w:val="0049122C"/>
    <w:rsid w:val="00492B91"/>
    <w:rsid w:val="00494A09"/>
    <w:rsid w:val="00494C1A"/>
    <w:rsid w:val="0049551C"/>
    <w:rsid w:val="00497155"/>
    <w:rsid w:val="00497F52"/>
    <w:rsid w:val="004A11DF"/>
    <w:rsid w:val="004A6869"/>
    <w:rsid w:val="004A68F3"/>
    <w:rsid w:val="004B0B03"/>
    <w:rsid w:val="004B2C59"/>
    <w:rsid w:val="004B2EBE"/>
    <w:rsid w:val="004B37B7"/>
    <w:rsid w:val="004B67E8"/>
    <w:rsid w:val="004B7EF1"/>
    <w:rsid w:val="004C0A47"/>
    <w:rsid w:val="004C25B5"/>
    <w:rsid w:val="004C3DB2"/>
    <w:rsid w:val="004C4755"/>
    <w:rsid w:val="004C522D"/>
    <w:rsid w:val="004C6635"/>
    <w:rsid w:val="004C7CFF"/>
    <w:rsid w:val="004C7D0D"/>
    <w:rsid w:val="004D2AEB"/>
    <w:rsid w:val="004E2B0D"/>
    <w:rsid w:val="004E2BA3"/>
    <w:rsid w:val="004E7110"/>
    <w:rsid w:val="004F5825"/>
    <w:rsid w:val="00505ED8"/>
    <w:rsid w:val="00506E3F"/>
    <w:rsid w:val="005073DE"/>
    <w:rsid w:val="00513C50"/>
    <w:rsid w:val="00515CE0"/>
    <w:rsid w:val="005176C9"/>
    <w:rsid w:val="00522008"/>
    <w:rsid w:val="0052388B"/>
    <w:rsid w:val="005239DE"/>
    <w:rsid w:val="005252C4"/>
    <w:rsid w:val="0053100F"/>
    <w:rsid w:val="00536756"/>
    <w:rsid w:val="00537687"/>
    <w:rsid w:val="005402A6"/>
    <w:rsid w:val="00541947"/>
    <w:rsid w:val="00542F9D"/>
    <w:rsid w:val="005470D2"/>
    <w:rsid w:val="00555673"/>
    <w:rsid w:val="005573DC"/>
    <w:rsid w:val="005575F9"/>
    <w:rsid w:val="0056187E"/>
    <w:rsid w:val="005624B8"/>
    <w:rsid w:val="005626E9"/>
    <w:rsid w:val="005632E4"/>
    <w:rsid w:val="00566AE7"/>
    <w:rsid w:val="00566F44"/>
    <w:rsid w:val="00567668"/>
    <w:rsid w:val="00570EDB"/>
    <w:rsid w:val="00576F9C"/>
    <w:rsid w:val="00580F6E"/>
    <w:rsid w:val="0058559B"/>
    <w:rsid w:val="00586737"/>
    <w:rsid w:val="00586BEA"/>
    <w:rsid w:val="00586E50"/>
    <w:rsid w:val="00587A30"/>
    <w:rsid w:val="00591F36"/>
    <w:rsid w:val="00592F2B"/>
    <w:rsid w:val="00594AD5"/>
    <w:rsid w:val="00595445"/>
    <w:rsid w:val="00595AD1"/>
    <w:rsid w:val="00596096"/>
    <w:rsid w:val="00597867"/>
    <w:rsid w:val="005A29E1"/>
    <w:rsid w:val="005A2DFD"/>
    <w:rsid w:val="005A44B0"/>
    <w:rsid w:val="005A7578"/>
    <w:rsid w:val="005B0B47"/>
    <w:rsid w:val="005B1156"/>
    <w:rsid w:val="005B30AB"/>
    <w:rsid w:val="005B421F"/>
    <w:rsid w:val="005B4EF6"/>
    <w:rsid w:val="005B5F37"/>
    <w:rsid w:val="005B611F"/>
    <w:rsid w:val="005B75AD"/>
    <w:rsid w:val="005C3739"/>
    <w:rsid w:val="005D0175"/>
    <w:rsid w:val="005D2D18"/>
    <w:rsid w:val="005D5F3D"/>
    <w:rsid w:val="005D6A72"/>
    <w:rsid w:val="005E1198"/>
    <w:rsid w:val="005E1529"/>
    <w:rsid w:val="005E41AA"/>
    <w:rsid w:val="005E5C13"/>
    <w:rsid w:val="005E71F1"/>
    <w:rsid w:val="005E76CA"/>
    <w:rsid w:val="005F1209"/>
    <w:rsid w:val="005F1597"/>
    <w:rsid w:val="005F764F"/>
    <w:rsid w:val="005F7C56"/>
    <w:rsid w:val="005F7F93"/>
    <w:rsid w:val="00600D36"/>
    <w:rsid w:val="00600E6C"/>
    <w:rsid w:val="00603619"/>
    <w:rsid w:val="00604C9E"/>
    <w:rsid w:val="00606C14"/>
    <w:rsid w:val="00614E7C"/>
    <w:rsid w:val="00615869"/>
    <w:rsid w:val="00615A4A"/>
    <w:rsid w:val="00616234"/>
    <w:rsid w:val="00616AF8"/>
    <w:rsid w:val="00620770"/>
    <w:rsid w:val="006213DE"/>
    <w:rsid w:val="00623706"/>
    <w:rsid w:val="00624568"/>
    <w:rsid w:val="00632CA5"/>
    <w:rsid w:val="00632E5A"/>
    <w:rsid w:val="006342E7"/>
    <w:rsid w:val="00640A02"/>
    <w:rsid w:val="00641212"/>
    <w:rsid w:val="00641B36"/>
    <w:rsid w:val="0064593E"/>
    <w:rsid w:val="00646D14"/>
    <w:rsid w:val="0065357C"/>
    <w:rsid w:val="00653E7A"/>
    <w:rsid w:val="00656AF6"/>
    <w:rsid w:val="006605CD"/>
    <w:rsid w:val="0066182C"/>
    <w:rsid w:val="00666434"/>
    <w:rsid w:val="00667F20"/>
    <w:rsid w:val="00671325"/>
    <w:rsid w:val="00671C6C"/>
    <w:rsid w:val="00674A41"/>
    <w:rsid w:val="00675613"/>
    <w:rsid w:val="006772D1"/>
    <w:rsid w:val="006849D8"/>
    <w:rsid w:val="006858FA"/>
    <w:rsid w:val="006868E2"/>
    <w:rsid w:val="006904B7"/>
    <w:rsid w:val="0069090F"/>
    <w:rsid w:val="006931E2"/>
    <w:rsid w:val="006965C0"/>
    <w:rsid w:val="006A302B"/>
    <w:rsid w:val="006A3D38"/>
    <w:rsid w:val="006A4E93"/>
    <w:rsid w:val="006A5183"/>
    <w:rsid w:val="006A6EA9"/>
    <w:rsid w:val="006B30C5"/>
    <w:rsid w:val="006B4926"/>
    <w:rsid w:val="006B5D11"/>
    <w:rsid w:val="006C00E9"/>
    <w:rsid w:val="006C082B"/>
    <w:rsid w:val="006C310C"/>
    <w:rsid w:val="006C31BF"/>
    <w:rsid w:val="006C346C"/>
    <w:rsid w:val="006C6CD4"/>
    <w:rsid w:val="006C707E"/>
    <w:rsid w:val="006C7CE2"/>
    <w:rsid w:val="006C7F8D"/>
    <w:rsid w:val="006D2ED1"/>
    <w:rsid w:val="006D558B"/>
    <w:rsid w:val="006D6EC0"/>
    <w:rsid w:val="006D7FAF"/>
    <w:rsid w:val="006E04E4"/>
    <w:rsid w:val="006E06E4"/>
    <w:rsid w:val="006E3C4C"/>
    <w:rsid w:val="006E418F"/>
    <w:rsid w:val="006E440E"/>
    <w:rsid w:val="006E6155"/>
    <w:rsid w:val="006E62D1"/>
    <w:rsid w:val="006F55D0"/>
    <w:rsid w:val="006F6A6F"/>
    <w:rsid w:val="00703486"/>
    <w:rsid w:val="007043B7"/>
    <w:rsid w:val="00705A2B"/>
    <w:rsid w:val="007136CA"/>
    <w:rsid w:val="007139B5"/>
    <w:rsid w:val="00714429"/>
    <w:rsid w:val="007149D3"/>
    <w:rsid w:val="00716368"/>
    <w:rsid w:val="00716C99"/>
    <w:rsid w:val="00727E81"/>
    <w:rsid w:val="00730C8F"/>
    <w:rsid w:val="00732CD6"/>
    <w:rsid w:val="00735743"/>
    <w:rsid w:val="00736F43"/>
    <w:rsid w:val="00740589"/>
    <w:rsid w:val="00741E70"/>
    <w:rsid w:val="007444F9"/>
    <w:rsid w:val="00744646"/>
    <w:rsid w:val="00744D63"/>
    <w:rsid w:val="00744D84"/>
    <w:rsid w:val="0074559A"/>
    <w:rsid w:val="007462D5"/>
    <w:rsid w:val="00747412"/>
    <w:rsid w:val="00747812"/>
    <w:rsid w:val="00750605"/>
    <w:rsid w:val="007506C7"/>
    <w:rsid w:val="007523FA"/>
    <w:rsid w:val="00756FE0"/>
    <w:rsid w:val="0076243D"/>
    <w:rsid w:val="0076249A"/>
    <w:rsid w:val="00764F9D"/>
    <w:rsid w:val="0076598D"/>
    <w:rsid w:val="007671FF"/>
    <w:rsid w:val="00767676"/>
    <w:rsid w:val="007700BA"/>
    <w:rsid w:val="007744AD"/>
    <w:rsid w:val="00775036"/>
    <w:rsid w:val="007753C5"/>
    <w:rsid w:val="00775FFF"/>
    <w:rsid w:val="007760EB"/>
    <w:rsid w:val="00776E14"/>
    <w:rsid w:val="00777503"/>
    <w:rsid w:val="00781A2E"/>
    <w:rsid w:val="00782CD9"/>
    <w:rsid w:val="007846DC"/>
    <w:rsid w:val="007849C7"/>
    <w:rsid w:val="00784C8B"/>
    <w:rsid w:val="007947A8"/>
    <w:rsid w:val="00795ABB"/>
    <w:rsid w:val="0079673A"/>
    <w:rsid w:val="00796FF9"/>
    <w:rsid w:val="007A13FD"/>
    <w:rsid w:val="007A17DE"/>
    <w:rsid w:val="007A2732"/>
    <w:rsid w:val="007A32F1"/>
    <w:rsid w:val="007A3A04"/>
    <w:rsid w:val="007A4998"/>
    <w:rsid w:val="007A60DF"/>
    <w:rsid w:val="007A75FC"/>
    <w:rsid w:val="007B1616"/>
    <w:rsid w:val="007B7D1B"/>
    <w:rsid w:val="007C5C75"/>
    <w:rsid w:val="007C610B"/>
    <w:rsid w:val="007D0293"/>
    <w:rsid w:val="007D13CD"/>
    <w:rsid w:val="007D1491"/>
    <w:rsid w:val="007D2A39"/>
    <w:rsid w:val="007E0286"/>
    <w:rsid w:val="007E3560"/>
    <w:rsid w:val="007E3EE6"/>
    <w:rsid w:val="007F2EBA"/>
    <w:rsid w:val="007F3EEA"/>
    <w:rsid w:val="007F43EB"/>
    <w:rsid w:val="007F4488"/>
    <w:rsid w:val="007F4FE8"/>
    <w:rsid w:val="00800AE7"/>
    <w:rsid w:val="00805B00"/>
    <w:rsid w:val="00807928"/>
    <w:rsid w:val="00807C5F"/>
    <w:rsid w:val="00810E44"/>
    <w:rsid w:val="00811B37"/>
    <w:rsid w:val="008155A1"/>
    <w:rsid w:val="00816DF8"/>
    <w:rsid w:val="00817021"/>
    <w:rsid w:val="0081767E"/>
    <w:rsid w:val="0082129E"/>
    <w:rsid w:val="008233F8"/>
    <w:rsid w:val="0082494E"/>
    <w:rsid w:val="00826114"/>
    <w:rsid w:val="00827856"/>
    <w:rsid w:val="0083449F"/>
    <w:rsid w:val="008369D9"/>
    <w:rsid w:val="00837A25"/>
    <w:rsid w:val="00837BC7"/>
    <w:rsid w:val="008424D6"/>
    <w:rsid w:val="00845B0B"/>
    <w:rsid w:val="0084661E"/>
    <w:rsid w:val="008531AA"/>
    <w:rsid w:val="00853238"/>
    <w:rsid w:val="0085405F"/>
    <w:rsid w:val="00855F6C"/>
    <w:rsid w:val="00857245"/>
    <w:rsid w:val="00861B15"/>
    <w:rsid w:val="008627D3"/>
    <w:rsid w:val="00862974"/>
    <w:rsid w:val="00863395"/>
    <w:rsid w:val="0086761A"/>
    <w:rsid w:val="00870616"/>
    <w:rsid w:val="008712C9"/>
    <w:rsid w:val="00871833"/>
    <w:rsid w:val="008727DE"/>
    <w:rsid w:val="00872949"/>
    <w:rsid w:val="00873437"/>
    <w:rsid w:val="00873EEE"/>
    <w:rsid w:val="00875BA8"/>
    <w:rsid w:val="00875D3D"/>
    <w:rsid w:val="008826CE"/>
    <w:rsid w:val="0088316A"/>
    <w:rsid w:val="008831EC"/>
    <w:rsid w:val="008834F1"/>
    <w:rsid w:val="008848EB"/>
    <w:rsid w:val="00884A90"/>
    <w:rsid w:val="00890836"/>
    <w:rsid w:val="0089354F"/>
    <w:rsid w:val="00894543"/>
    <w:rsid w:val="008947CE"/>
    <w:rsid w:val="0089679E"/>
    <w:rsid w:val="008A0264"/>
    <w:rsid w:val="008A22B6"/>
    <w:rsid w:val="008A233B"/>
    <w:rsid w:val="008A2A57"/>
    <w:rsid w:val="008A42DD"/>
    <w:rsid w:val="008A68A6"/>
    <w:rsid w:val="008A7C2E"/>
    <w:rsid w:val="008B24F1"/>
    <w:rsid w:val="008B4D2A"/>
    <w:rsid w:val="008B5F72"/>
    <w:rsid w:val="008C1253"/>
    <w:rsid w:val="008C2591"/>
    <w:rsid w:val="008C6E41"/>
    <w:rsid w:val="008D16B8"/>
    <w:rsid w:val="008D22F8"/>
    <w:rsid w:val="008D49B9"/>
    <w:rsid w:val="008E0286"/>
    <w:rsid w:val="008E079D"/>
    <w:rsid w:val="008E2BD5"/>
    <w:rsid w:val="008E4017"/>
    <w:rsid w:val="008E4359"/>
    <w:rsid w:val="008F2791"/>
    <w:rsid w:val="008F4AFC"/>
    <w:rsid w:val="008F68C7"/>
    <w:rsid w:val="00900410"/>
    <w:rsid w:val="009004A6"/>
    <w:rsid w:val="009040F1"/>
    <w:rsid w:val="00910983"/>
    <w:rsid w:val="009121FC"/>
    <w:rsid w:val="0091396E"/>
    <w:rsid w:val="00913BD1"/>
    <w:rsid w:val="0091471F"/>
    <w:rsid w:val="00914AB3"/>
    <w:rsid w:val="009156D7"/>
    <w:rsid w:val="009236BA"/>
    <w:rsid w:val="00923748"/>
    <w:rsid w:val="009327FE"/>
    <w:rsid w:val="00934A5E"/>
    <w:rsid w:val="00934A5F"/>
    <w:rsid w:val="0094692F"/>
    <w:rsid w:val="00947472"/>
    <w:rsid w:val="00950D03"/>
    <w:rsid w:val="00954283"/>
    <w:rsid w:val="009566A4"/>
    <w:rsid w:val="009566E9"/>
    <w:rsid w:val="00957F68"/>
    <w:rsid w:val="00960309"/>
    <w:rsid w:val="00962F95"/>
    <w:rsid w:val="0096524A"/>
    <w:rsid w:val="009656F3"/>
    <w:rsid w:val="00966892"/>
    <w:rsid w:val="009671C2"/>
    <w:rsid w:val="009703E1"/>
    <w:rsid w:val="00972D23"/>
    <w:rsid w:val="0098030B"/>
    <w:rsid w:val="00983872"/>
    <w:rsid w:val="00985800"/>
    <w:rsid w:val="0098648B"/>
    <w:rsid w:val="009867C0"/>
    <w:rsid w:val="009918EB"/>
    <w:rsid w:val="0099284D"/>
    <w:rsid w:val="0099379E"/>
    <w:rsid w:val="00993D20"/>
    <w:rsid w:val="00993EBC"/>
    <w:rsid w:val="00994C90"/>
    <w:rsid w:val="009A0154"/>
    <w:rsid w:val="009A4826"/>
    <w:rsid w:val="009A708F"/>
    <w:rsid w:val="009A794B"/>
    <w:rsid w:val="009B078D"/>
    <w:rsid w:val="009B0F04"/>
    <w:rsid w:val="009B462D"/>
    <w:rsid w:val="009B4DD3"/>
    <w:rsid w:val="009B5063"/>
    <w:rsid w:val="009B5163"/>
    <w:rsid w:val="009B53E0"/>
    <w:rsid w:val="009C0C0A"/>
    <w:rsid w:val="009C23A9"/>
    <w:rsid w:val="009C3878"/>
    <w:rsid w:val="009C50B6"/>
    <w:rsid w:val="009C68AF"/>
    <w:rsid w:val="009C71D7"/>
    <w:rsid w:val="009D5E92"/>
    <w:rsid w:val="009D6B59"/>
    <w:rsid w:val="009D7CBE"/>
    <w:rsid w:val="009D7F84"/>
    <w:rsid w:val="009E530A"/>
    <w:rsid w:val="009E78AA"/>
    <w:rsid w:val="009F00EB"/>
    <w:rsid w:val="009F1A03"/>
    <w:rsid w:val="009F220E"/>
    <w:rsid w:val="009F2656"/>
    <w:rsid w:val="009F3BA5"/>
    <w:rsid w:val="009F3F85"/>
    <w:rsid w:val="009F4AB0"/>
    <w:rsid w:val="009F4FDE"/>
    <w:rsid w:val="009F5D9E"/>
    <w:rsid w:val="009F7B6D"/>
    <w:rsid w:val="00A0113F"/>
    <w:rsid w:val="00A053C6"/>
    <w:rsid w:val="00A069C6"/>
    <w:rsid w:val="00A1441D"/>
    <w:rsid w:val="00A14EB6"/>
    <w:rsid w:val="00A15D1F"/>
    <w:rsid w:val="00A20011"/>
    <w:rsid w:val="00A331C2"/>
    <w:rsid w:val="00A33FC1"/>
    <w:rsid w:val="00A36171"/>
    <w:rsid w:val="00A37001"/>
    <w:rsid w:val="00A417D2"/>
    <w:rsid w:val="00A44FD6"/>
    <w:rsid w:val="00A466B0"/>
    <w:rsid w:val="00A4688F"/>
    <w:rsid w:val="00A46FEB"/>
    <w:rsid w:val="00A47B18"/>
    <w:rsid w:val="00A50164"/>
    <w:rsid w:val="00A50DFD"/>
    <w:rsid w:val="00A50E47"/>
    <w:rsid w:val="00A51DAF"/>
    <w:rsid w:val="00A51EA7"/>
    <w:rsid w:val="00A52B50"/>
    <w:rsid w:val="00A53B39"/>
    <w:rsid w:val="00A53C69"/>
    <w:rsid w:val="00A54F5B"/>
    <w:rsid w:val="00A56CF2"/>
    <w:rsid w:val="00A60572"/>
    <w:rsid w:val="00A60CEC"/>
    <w:rsid w:val="00A61CB8"/>
    <w:rsid w:val="00A65906"/>
    <w:rsid w:val="00A66BC7"/>
    <w:rsid w:val="00A66F60"/>
    <w:rsid w:val="00A707B7"/>
    <w:rsid w:val="00A7098C"/>
    <w:rsid w:val="00A762FF"/>
    <w:rsid w:val="00A84E7B"/>
    <w:rsid w:val="00A8687A"/>
    <w:rsid w:val="00AB0C41"/>
    <w:rsid w:val="00AB1548"/>
    <w:rsid w:val="00AB6B36"/>
    <w:rsid w:val="00AC475C"/>
    <w:rsid w:val="00AC4CD5"/>
    <w:rsid w:val="00AD1BA4"/>
    <w:rsid w:val="00AD2A81"/>
    <w:rsid w:val="00AD3DAB"/>
    <w:rsid w:val="00AD5290"/>
    <w:rsid w:val="00AD64B7"/>
    <w:rsid w:val="00AE035C"/>
    <w:rsid w:val="00AE066E"/>
    <w:rsid w:val="00AE32DE"/>
    <w:rsid w:val="00AE3631"/>
    <w:rsid w:val="00AE443F"/>
    <w:rsid w:val="00AE542F"/>
    <w:rsid w:val="00AE6D9F"/>
    <w:rsid w:val="00AF142F"/>
    <w:rsid w:val="00AF1E0E"/>
    <w:rsid w:val="00AF5D2C"/>
    <w:rsid w:val="00B05D84"/>
    <w:rsid w:val="00B05EEB"/>
    <w:rsid w:val="00B06C00"/>
    <w:rsid w:val="00B07711"/>
    <w:rsid w:val="00B10715"/>
    <w:rsid w:val="00B113D8"/>
    <w:rsid w:val="00B12A73"/>
    <w:rsid w:val="00B14136"/>
    <w:rsid w:val="00B213C3"/>
    <w:rsid w:val="00B22C6D"/>
    <w:rsid w:val="00B24A92"/>
    <w:rsid w:val="00B24B84"/>
    <w:rsid w:val="00B27811"/>
    <w:rsid w:val="00B27C2F"/>
    <w:rsid w:val="00B308E9"/>
    <w:rsid w:val="00B33329"/>
    <w:rsid w:val="00B36A57"/>
    <w:rsid w:val="00B37E2C"/>
    <w:rsid w:val="00B427B9"/>
    <w:rsid w:val="00B4631B"/>
    <w:rsid w:val="00B52EA0"/>
    <w:rsid w:val="00B565EE"/>
    <w:rsid w:val="00B61808"/>
    <w:rsid w:val="00B67541"/>
    <w:rsid w:val="00B7028F"/>
    <w:rsid w:val="00B70C5F"/>
    <w:rsid w:val="00B80C50"/>
    <w:rsid w:val="00B81B64"/>
    <w:rsid w:val="00B84C3D"/>
    <w:rsid w:val="00B84D0E"/>
    <w:rsid w:val="00B851E6"/>
    <w:rsid w:val="00B85F95"/>
    <w:rsid w:val="00B86532"/>
    <w:rsid w:val="00B87FD7"/>
    <w:rsid w:val="00B9427A"/>
    <w:rsid w:val="00B96506"/>
    <w:rsid w:val="00BA0B00"/>
    <w:rsid w:val="00BA2170"/>
    <w:rsid w:val="00BA658D"/>
    <w:rsid w:val="00BA7489"/>
    <w:rsid w:val="00BB0453"/>
    <w:rsid w:val="00BB6322"/>
    <w:rsid w:val="00BB683F"/>
    <w:rsid w:val="00BC45D4"/>
    <w:rsid w:val="00BD36CD"/>
    <w:rsid w:val="00BD6027"/>
    <w:rsid w:val="00BE0098"/>
    <w:rsid w:val="00BE19ED"/>
    <w:rsid w:val="00BE303A"/>
    <w:rsid w:val="00BE33A7"/>
    <w:rsid w:val="00BE3F78"/>
    <w:rsid w:val="00BE5CED"/>
    <w:rsid w:val="00BF259E"/>
    <w:rsid w:val="00BF2FD1"/>
    <w:rsid w:val="00BF31A1"/>
    <w:rsid w:val="00BF4087"/>
    <w:rsid w:val="00BF46D2"/>
    <w:rsid w:val="00BF5595"/>
    <w:rsid w:val="00C025AA"/>
    <w:rsid w:val="00C02E04"/>
    <w:rsid w:val="00C104DD"/>
    <w:rsid w:val="00C109FD"/>
    <w:rsid w:val="00C17CF0"/>
    <w:rsid w:val="00C17D57"/>
    <w:rsid w:val="00C235FD"/>
    <w:rsid w:val="00C24B18"/>
    <w:rsid w:val="00C26B5C"/>
    <w:rsid w:val="00C30CA2"/>
    <w:rsid w:val="00C31A1E"/>
    <w:rsid w:val="00C344C3"/>
    <w:rsid w:val="00C35391"/>
    <w:rsid w:val="00C4403D"/>
    <w:rsid w:val="00C470B8"/>
    <w:rsid w:val="00C47354"/>
    <w:rsid w:val="00C533A4"/>
    <w:rsid w:val="00C60F79"/>
    <w:rsid w:val="00C62DA7"/>
    <w:rsid w:val="00C64D26"/>
    <w:rsid w:val="00C7091E"/>
    <w:rsid w:val="00C727AB"/>
    <w:rsid w:val="00C73408"/>
    <w:rsid w:val="00C7357E"/>
    <w:rsid w:val="00C767D2"/>
    <w:rsid w:val="00C831F7"/>
    <w:rsid w:val="00C86EDA"/>
    <w:rsid w:val="00C91F74"/>
    <w:rsid w:val="00C95669"/>
    <w:rsid w:val="00C96CD6"/>
    <w:rsid w:val="00CA1C86"/>
    <w:rsid w:val="00CA352C"/>
    <w:rsid w:val="00CA51D9"/>
    <w:rsid w:val="00CA5899"/>
    <w:rsid w:val="00CA6F42"/>
    <w:rsid w:val="00CB2150"/>
    <w:rsid w:val="00CB7420"/>
    <w:rsid w:val="00CC2F19"/>
    <w:rsid w:val="00CC2FB0"/>
    <w:rsid w:val="00CC3453"/>
    <w:rsid w:val="00CC48AA"/>
    <w:rsid w:val="00CC4CF5"/>
    <w:rsid w:val="00CC64A5"/>
    <w:rsid w:val="00CD1AB1"/>
    <w:rsid w:val="00CD277A"/>
    <w:rsid w:val="00CD332B"/>
    <w:rsid w:val="00CD490E"/>
    <w:rsid w:val="00CE4571"/>
    <w:rsid w:val="00CE45BA"/>
    <w:rsid w:val="00CE5236"/>
    <w:rsid w:val="00CE5D66"/>
    <w:rsid w:val="00CE6245"/>
    <w:rsid w:val="00CE6359"/>
    <w:rsid w:val="00CE6A93"/>
    <w:rsid w:val="00CF16B1"/>
    <w:rsid w:val="00CF2267"/>
    <w:rsid w:val="00CF3C58"/>
    <w:rsid w:val="00CF3CA4"/>
    <w:rsid w:val="00CF682B"/>
    <w:rsid w:val="00D010FD"/>
    <w:rsid w:val="00D015A2"/>
    <w:rsid w:val="00D05D6C"/>
    <w:rsid w:val="00D1112B"/>
    <w:rsid w:val="00D117CE"/>
    <w:rsid w:val="00D11F13"/>
    <w:rsid w:val="00D14067"/>
    <w:rsid w:val="00D16450"/>
    <w:rsid w:val="00D176A5"/>
    <w:rsid w:val="00D17D36"/>
    <w:rsid w:val="00D21769"/>
    <w:rsid w:val="00D23146"/>
    <w:rsid w:val="00D24A46"/>
    <w:rsid w:val="00D24BE6"/>
    <w:rsid w:val="00D351C5"/>
    <w:rsid w:val="00D36460"/>
    <w:rsid w:val="00D3727A"/>
    <w:rsid w:val="00D406CF"/>
    <w:rsid w:val="00D40735"/>
    <w:rsid w:val="00D40BA8"/>
    <w:rsid w:val="00D43276"/>
    <w:rsid w:val="00D45702"/>
    <w:rsid w:val="00D53EB4"/>
    <w:rsid w:val="00D54408"/>
    <w:rsid w:val="00D55EFD"/>
    <w:rsid w:val="00D5629C"/>
    <w:rsid w:val="00D562A3"/>
    <w:rsid w:val="00D61AE2"/>
    <w:rsid w:val="00D634C6"/>
    <w:rsid w:val="00D74066"/>
    <w:rsid w:val="00D823FD"/>
    <w:rsid w:val="00D824B9"/>
    <w:rsid w:val="00D83EC0"/>
    <w:rsid w:val="00D856F7"/>
    <w:rsid w:val="00D85D57"/>
    <w:rsid w:val="00D85DFD"/>
    <w:rsid w:val="00D87149"/>
    <w:rsid w:val="00D8790F"/>
    <w:rsid w:val="00D9543F"/>
    <w:rsid w:val="00DA07AE"/>
    <w:rsid w:val="00DA0F68"/>
    <w:rsid w:val="00DA5D73"/>
    <w:rsid w:val="00DB032D"/>
    <w:rsid w:val="00DB20E4"/>
    <w:rsid w:val="00DB2107"/>
    <w:rsid w:val="00DB2B78"/>
    <w:rsid w:val="00DB38FA"/>
    <w:rsid w:val="00DB6100"/>
    <w:rsid w:val="00DB6402"/>
    <w:rsid w:val="00DB66AB"/>
    <w:rsid w:val="00DC116F"/>
    <w:rsid w:val="00DC42E5"/>
    <w:rsid w:val="00DC51F1"/>
    <w:rsid w:val="00DC64C6"/>
    <w:rsid w:val="00DC6D0D"/>
    <w:rsid w:val="00DD3F17"/>
    <w:rsid w:val="00DD44E7"/>
    <w:rsid w:val="00DD67DE"/>
    <w:rsid w:val="00DE2010"/>
    <w:rsid w:val="00DE35F6"/>
    <w:rsid w:val="00DE3676"/>
    <w:rsid w:val="00DE473D"/>
    <w:rsid w:val="00DF061C"/>
    <w:rsid w:val="00DF07A7"/>
    <w:rsid w:val="00DF0F6D"/>
    <w:rsid w:val="00DF1486"/>
    <w:rsid w:val="00DF16A8"/>
    <w:rsid w:val="00DF29FC"/>
    <w:rsid w:val="00DF3A3A"/>
    <w:rsid w:val="00DF54F9"/>
    <w:rsid w:val="00E00711"/>
    <w:rsid w:val="00E03165"/>
    <w:rsid w:val="00E04818"/>
    <w:rsid w:val="00E04D9E"/>
    <w:rsid w:val="00E07D86"/>
    <w:rsid w:val="00E07EDE"/>
    <w:rsid w:val="00E11D84"/>
    <w:rsid w:val="00E14698"/>
    <w:rsid w:val="00E14FF3"/>
    <w:rsid w:val="00E17141"/>
    <w:rsid w:val="00E21E6C"/>
    <w:rsid w:val="00E26889"/>
    <w:rsid w:val="00E270A6"/>
    <w:rsid w:val="00E27229"/>
    <w:rsid w:val="00E2772C"/>
    <w:rsid w:val="00E27F87"/>
    <w:rsid w:val="00E34EAD"/>
    <w:rsid w:val="00E35896"/>
    <w:rsid w:val="00E36A79"/>
    <w:rsid w:val="00E375BC"/>
    <w:rsid w:val="00E37C69"/>
    <w:rsid w:val="00E401E6"/>
    <w:rsid w:val="00E40409"/>
    <w:rsid w:val="00E4456F"/>
    <w:rsid w:val="00E47A87"/>
    <w:rsid w:val="00E5106E"/>
    <w:rsid w:val="00E5460E"/>
    <w:rsid w:val="00E6141C"/>
    <w:rsid w:val="00E648FD"/>
    <w:rsid w:val="00E6704B"/>
    <w:rsid w:val="00E75A4F"/>
    <w:rsid w:val="00E76B86"/>
    <w:rsid w:val="00E81099"/>
    <w:rsid w:val="00E8175C"/>
    <w:rsid w:val="00E82B23"/>
    <w:rsid w:val="00E86671"/>
    <w:rsid w:val="00E87672"/>
    <w:rsid w:val="00E878CB"/>
    <w:rsid w:val="00E9216E"/>
    <w:rsid w:val="00E94BA8"/>
    <w:rsid w:val="00E9684F"/>
    <w:rsid w:val="00E96FF3"/>
    <w:rsid w:val="00E97C52"/>
    <w:rsid w:val="00EA0B37"/>
    <w:rsid w:val="00EA0CB6"/>
    <w:rsid w:val="00EA2038"/>
    <w:rsid w:val="00EA2FF0"/>
    <w:rsid w:val="00EA349A"/>
    <w:rsid w:val="00EA4931"/>
    <w:rsid w:val="00EA6B77"/>
    <w:rsid w:val="00EA7F5A"/>
    <w:rsid w:val="00EA7F5B"/>
    <w:rsid w:val="00EB360E"/>
    <w:rsid w:val="00EB5B56"/>
    <w:rsid w:val="00EB5FE4"/>
    <w:rsid w:val="00EB7927"/>
    <w:rsid w:val="00EC040D"/>
    <w:rsid w:val="00EC058E"/>
    <w:rsid w:val="00EC07CE"/>
    <w:rsid w:val="00EC42C0"/>
    <w:rsid w:val="00EC496B"/>
    <w:rsid w:val="00EC5082"/>
    <w:rsid w:val="00EC6015"/>
    <w:rsid w:val="00EC6CCB"/>
    <w:rsid w:val="00ED13EE"/>
    <w:rsid w:val="00ED3D32"/>
    <w:rsid w:val="00ED43D5"/>
    <w:rsid w:val="00EE05FC"/>
    <w:rsid w:val="00EE32D2"/>
    <w:rsid w:val="00EE3B28"/>
    <w:rsid w:val="00EE52A1"/>
    <w:rsid w:val="00EE616D"/>
    <w:rsid w:val="00EE7DBC"/>
    <w:rsid w:val="00EF1156"/>
    <w:rsid w:val="00EF2620"/>
    <w:rsid w:val="00EF3995"/>
    <w:rsid w:val="00EF6281"/>
    <w:rsid w:val="00F008AA"/>
    <w:rsid w:val="00F00928"/>
    <w:rsid w:val="00F038AB"/>
    <w:rsid w:val="00F043EA"/>
    <w:rsid w:val="00F10038"/>
    <w:rsid w:val="00F1789A"/>
    <w:rsid w:val="00F201A8"/>
    <w:rsid w:val="00F22730"/>
    <w:rsid w:val="00F22BDD"/>
    <w:rsid w:val="00F24505"/>
    <w:rsid w:val="00F268EE"/>
    <w:rsid w:val="00F270A3"/>
    <w:rsid w:val="00F30133"/>
    <w:rsid w:val="00F30DC3"/>
    <w:rsid w:val="00F31E28"/>
    <w:rsid w:val="00F3333D"/>
    <w:rsid w:val="00F34FFA"/>
    <w:rsid w:val="00F37472"/>
    <w:rsid w:val="00F40180"/>
    <w:rsid w:val="00F417A2"/>
    <w:rsid w:val="00F42759"/>
    <w:rsid w:val="00F44B43"/>
    <w:rsid w:val="00F4753F"/>
    <w:rsid w:val="00F4758F"/>
    <w:rsid w:val="00F51FFD"/>
    <w:rsid w:val="00F5358A"/>
    <w:rsid w:val="00F53DD0"/>
    <w:rsid w:val="00F54DE9"/>
    <w:rsid w:val="00F56630"/>
    <w:rsid w:val="00F569C3"/>
    <w:rsid w:val="00F56E15"/>
    <w:rsid w:val="00F60747"/>
    <w:rsid w:val="00F62E6C"/>
    <w:rsid w:val="00F635D6"/>
    <w:rsid w:val="00F641B8"/>
    <w:rsid w:val="00F66EA4"/>
    <w:rsid w:val="00F6789C"/>
    <w:rsid w:val="00F7373A"/>
    <w:rsid w:val="00F746A3"/>
    <w:rsid w:val="00F74E4C"/>
    <w:rsid w:val="00F75AE2"/>
    <w:rsid w:val="00F76BF0"/>
    <w:rsid w:val="00F76D18"/>
    <w:rsid w:val="00F76EFA"/>
    <w:rsid w:val="00F80CCF"/>
    <w:rsid w:val="00F81FAF"/>
    <w:rsid w:val="00F841AB"/>
    <w:rsid w:val="00F858C4"/>
    <w:rsid w:val="00F86A22"/>
    <w:rsid w:val="00F87152"/>
    <w:rsid w:val="00F874D5"/>
    <w:rsid w:val="00F90072"/>
    <w:rsid w:val="00F93302"/>
    <w:rsid w:val="00F944ED"/>
    <w:rsid w:val="00F9676B"/>
    <w:rsid w:val="00FA0FC5"/>
    <w:rsid w:val="00FA60AD"/>
    <w:rsid w:val="00FA7753"/>
    <w:rsid w:val="00FB0A07"/>
    <w:rsid w:val="00FB1319"/>
    <w:rsid w:val="00FB15FC"/>
    <w:rsid w:val="00FB1826"/>
    <w:rsid w:val="00FB2452"/>
    <w:rsid w:val="00FB7DA3"/>
    <w:rsid w:val="00FC06DE"/>
    <w:rsid w:val="00FC2301"/>
    <w:rsid w:val="00FC7C2A"/>
    <w:rsid w:val="00FD1314"/>
    <w:rsid w:val="00FD1D1A"/>
    <w:rsid w:val="00FD49FE"/>
    <w:rsid w:val="00FD54E8"/>
    <w:rsid w:val="00FD56BE"/>
    <w:rsid w:val="00FD76A1"/>
    <w:rsid w:val="00FD7D0A"/>
    <w:rsid w:val="00FE127B"/>
    <w:rsid w:val="00FE1FC7"/>
    <w:rsid w:val="00FE1FEA"/>
    <w:rsid w:val="00FE2A38"/>
    <w:rsid w:val="00FE4904"/>
    <w:rsid w:val="00FE7AB2"/>
    <w:rsid w:val="00FF1886"/>
    <w:rsid w:val="00FF1F2C"/>
    <w:rsid w:val="00FF3174"/>
    <w:rsid w:val="00FF45AE"/>
    <w:rsid w:val="00FF78E7"/>
    <w:rsid w:val="00FF7A3C"/>
    <w:rsid w:val="048A3645"/>
    <w:rsid w:val="055F03D8"/>
    <w:rsid w:val="05C148CB"/>
    <w:rsid w:val="07327EAB"/>
    <w:rsid w:val="0A733C0C"/>
    <w:rsid w:val="18B03279"/>
    <w:rsid w:val="18D0578C"/>
    <w:rsid w:val="1CDB1CC6"/>
    <w:rsid w:val="23323674"/>
    <w:rsid w:val="27A9702D"/>
    <w:rsid w:val="2A1F424A"/>
    <w:rsid w:val="2CCF7782"/>
    <w:rsid w:val="39101B6C"/>
    <w:rsid w:val="39474B1F"/>
    <w:rsid w:val="3AA95CDD"/>
    <w:rsid w:val="3BE84CDA"/>
    <w:rsid w:val="3C406B3A"/>
    <w:rsid w:val="3D5E7061"/>
    <w:rsid w:val="4622488A"/>
    <w:rsid w:val="4AEB5F4F"/>
    <w:rsid w:val="4B204C28"/>
    <w:rsid w:val="4E6274B1"/>
    <w:rsid w:val="5A6D5002"/>
    <w:rsid w:val="5CB65CBF"/>
    <w:rsid w:val="65071386"/>
    <w:rsid w:val="6B786C45"/>
    <w:rsid w:val="6B974A40"/>
    <w:rsid w:val="77265A30"/>
    <w:rsid w:val="7DED73D2"/>
    <w:rsid w:val="7EAC32FD"/>
    <w:rsid w:val="7FF74BC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0"/>
    <w:semiHidden/>
    <w:unhideWhenUsed/>
    <w:qFormat/>
    <w:uiPriority w:val="99"/>
    <w:rPr>
      <w:sz w:val="18"/>
      <w:szCs w:val="18"/>
    </w:rPr>
  </w:style>
  <w:style w:type="paragraph" w:styleId="3">
    <w:name w:val="footer"/>
    <w:basedOn w:val="1"/>
    <w:link w:val="9"/>
    <w:semiHidden/>
    <w:unhideWhenUsed/>
    <w:qFormat/>
    <w:uiPriority w:val="99"/>
    <w:pPr>
      <w:tabs>
        <w:tab w:val="center" w:pos="4153"/>
        <w:tab w:val="right" w:pos="8306"/>
      </w:tabs>
      <w:snapToGrid w:val="0"/>
      <w:jc w:val="left"/>
    </w:pPr>
    <w:rPr>
      <w:sz w:val="18"/>
      <w:szCs w:val="18"/>
    </w:rPr>
  </w:style>
  <w:style w:type="paragraph" w:styleId="4">
    <w:name w:val="header"/>
    <w:basedOn w:val="1"/>
    <w:link w:val="8"/>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99"/>
    <w:pPr>
      <w:widowControl/>
      <w:spacing w:before="100" w:beforeAutospacing="1" w:after="100" w:afterAutospacing="1"/>
      <w:jc w:val="left"/>
    </w:pPr>
    <w:rPr>
      <w:rFonts w:ascii="宋体" w:hAnsi="宋体" w:cs="宋体"/>
      <w:kern w:val="0"/>
      <w:sz w:val="24"/>
    </w:rPr>
  </w:style>
  <w:style w:type="character" w:customStyle="1" w:styleId="8">
    <w:name w:val="页眉 Char"/>
    <w:basedOn w:val="7"/>
    <w:link w:val="4"/>
    <w:semiHidden/>
    <w:qFormat/>
    <w:uiPriority w:val="99"/>
    <w:rPr>
      <w:rFonts w:ascii="Times New Roman" w:hAnsi="Times New Roman" w:eastAsia="宋体" w:cs="Times New Roman"/>
      <w:sz w:val="18"/>
      <w:szCs w:val="18"/>
    </w:rPr>
  </w:style>
  <w:style w:type="character" w:customStyle="1" w:styleId="9">
    <w:name w:val="页脚 Char"/>
    <w:basedOn w:val="7"/>
    <w:link w:val="3"/>
    <w:semiHidden/>
    <w:qFormat/>
    <w:uiPriority w:val="99"/>
    <w:rPr>
      <w:rFonts w:ascii="Times New Roman" w:hAnsi="Times New Roman" w:eastAsia="宋体" w:cs="Times New Roman"/>
      <w:sz w:val="18"/>
      <w:szCs w:val="18"/>
    </w:rPr>
  </w:style>
  <w:style w:type="character" w:customStyle="1" w:styleId="10">
    <w:name w:val="批注框文本 Char"/>
    <w:basedOn w:val="7"/>
    <w:link w:val="2"/>
    <w:semiHidden/>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3</Pages>
  <Words>291</Words>
  <Characters>1659</Characters>
  <Lines>13</Lines>
  <Paragraphs>3</Paragraphs>
  <TotalTime>1</TotalTime>
  <ScaleCrop>false</ScaleCrop>
  <LinksUpToDate>false</LinksUpToDate>
  <CharactersWithSpaces>1947</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2020-04-24T06:47:00Z</dcterms:created>
  <dc:creator>未定义</dc:creator>
  <cp:lastModifiedBy>xuxiaoqun /:sun</cp:lastModifiedBy>
  <cp:lastPrinted>2025-07-24T03:16:00Z</cp:lastPrinted>
  <dcterms:modified xsi:type="dcterms:W3CDTF">2025-11-19T05:57:38Z</dcterms:modified>
  <cp:revision>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C4D15825BEF949ECBC9A32A5F18276B2</vt:lpwstr>
  </property>
</Properties>
</file>